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4977" w14:textId="77777777" w:rsidR="007E13F4" w:rsidRPr="00BB7B33" w:rsidRDefault="007E13F4"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6F1898" w14:paraId="68976797" w14:textId="77777777" w:rsidTr="00E55ECD">
        <w:trPr>
          <w:trHeight w:val="8976"/>
        </w:trPr>
        <w:tc>
          <w:tcPr>
            <w:tcW w:w="3178" w:type="dxa"/>
          </w:tcPr>
          <w:p w14:paraId="52152755" w14:textId="77777777" w:rsidR="007E13F4" w:rsidRPr="00BB7B33" w:rsidRDefault="007E13F4"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40596A06" wp14:editId="4145397A">
                  <wp:simplePos x="0" y="0"/>
                  <wp:positionH relativeFrom="page">
                    <wp:align>center</wp:align>
                  </wp:positionH>
                  <wp:positionV relativeFrom="paragraph">
                    <wp:posOffset>0</wp:posOffset>
                  </wp:positionV>
                  <wp:extent cx="1324160"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324160" cy="1428949"/>
                          </a:xfrm>
                          <a:prstGeom prst="rect">
                            <a:avLst/>
                          </a:prstGeom>
                        </pic:spPr>
                      </pic:pic>
                    </a:graphicData>
                  </a:graphic>
                </wp:anchor>
              </w:drawing>
            </w:r>
          </w:p>
        </w:tc>
        <w:tc>
          <w:tcPr>
            <w:tcW w:w="6229" w:type="dxa"/>
          </w:tcPr>
          <w:p w14:paraId="1092BE33" w14:textId="77777777" w:rsidR="007E13F4" w:rsidRPr="00BB7B33" w:rsidRDefault="007E13F4"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17BADA3C" wp14:editId="7652EC43">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F1898" w14:paraId="6960E103" w14:textId="77777777" w:rsidTr="0051066D">
                                    <w:trPr>
                                      <w:trHeight w:val="1837"/>
                                    </w:trPr>
                                    <w:tc>
                                      <w:tcPr>
                                        <w:tcW w:w="10632" w:type="dxa"/>
                                        <w:vAlign w:val="center"/>
                                      </w:tcPr>
                                      <w:p w14:paraId="1421A926" w14:textId="77777777" w:rsidR="007E13F4" w:rsidRPr="003E0246" w:rsidRDefault="007E13F4"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6A62C7CE" w14:textId="77777777" w:rsidR="007E13F4" w:rsidRDefault="007E13F4"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6A982218" w14:textId="77777777" w:rsidR="007E13F4" w:rsidRDefault="007E13F4"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6F1898" w14:paraId="0CA2A84E" w14:textId="77777777" w:rsidTr="0051066D">
                                    <w:trPr>
                                      <w:trHeight w:val="20"/>
                                    </w:trPr>
                                    <w:tc>
                                      <w:tcPr>
                                        <w:tcW w:w="10632" w:type="dxa"/>
                                      </w:tcPr>
                                      <w:p w14:paraId="44A51851" w14:textId="77777777" w:rsidR="007E13F4" w:rsidRPr="00642089" w:rsidRDefault="007E13F4" w:rsidP="000D139C">
                                        <w:pPr>
                                          <w:spacing w:before="240" w:after="0" w:line="240" w:lineRule="auto"/>
                                        </w:pPr>
                                        <w:r w:rsidRPr="00642089">
                                          <w:t>Attested on 04 March 2026 at 01:20 PM by Karen Roberts (Principal)</w:t>
                                        </w:r>
                                      </w:p>
                                    </w:tc>
                                  </w:tr>
                                </w:tbl>
                                <w:p w14:paraId="571F79BF" w14:textId="77777777" w:rsidR="007E13F4" w:rsidRDefault="007E13F4"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F1898" w14:paraId="0F71B2DA" w14:textId="77777777" w:rsidTr="000D139C">
                                    <w:trPr>
                                      <w:trHeight w:val="522"/>
                                    </w:trPr>
                                    <w:tc>
                                      <w:tcPr>
                                        <w:tcW w:w="10632" w:type="dxa"/>
                                        <w:vAlign w:val="center"/>
                                      </w:tcPr>
                                      <w:p w14:paraId="6D8E842D" w14:textId="77777777" w:rsidR="007E13F4" w:rsidRDefault="007E13F4"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6F1898" w14:paraId="183B5E04" w14:textId="77777777" w:rsidTr="000D139C">
                                    <w:trPr>
                                      <w:trHeight w:val="113"/>
                                    </w:trPr>
                                    <w:tc>
                                      <w:tcPr>
                                        <w:tcW w:w="10632" w:type="dxa"/>
                                      </w:tcPr>
                                      <w:p w14:paraId="17E71C74" w14:textId="77777777" w:rsidR="007E13F4" w:rsidRPr="00642089" w:rsidRDefault="007E13F4" w:rsidP="000D139C">
                                        <w:pPr>
                                          <w:spacing w:before="240" w:after="0" w:line="240" w:lineRule="auto"/>
                                        </w:pPr>
                                        <w:r w:rsidRPr="00642089">
                                          <w:t>Attested on 19 March 2026 at 11:44 AM by Karen Roberts (Principal)</w:t>
                                        </w:r>
                                      </w:p>
                                    </w:tc>
                                  </w:tr>
                                </w:tbl>
                                <w:p w14:paraId="38928B0E" w14:textId="77777777" w:rsidR="007E13F4" w:rsidRDefault="007E13F4" w:rsidP="00BB7B33"/>
                              </w:txbxContent>
                            </wps:txbx>
                            <wps:bodyPr rot="0" vert="horz" wrap="square" anchor="t" anchorCtr="0" upright="1"/>
                          </wps:wsp>
                        </a:graphicData>
                      </a:graphic>
                    </wp:anchor>
                  </w:drawing>
                </mc:Choice>
                <mc:Fallback>
                  <w:pict>
                    <v:shapetype w14:anchorId="17BADA3C"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F1898" w14:paraId="6960E103" w14:textId="77777777" w:rsidTr="0051066D">
                              <w:trPr>
                                <w:trHeight w:val="1837"/>
                              </w:trPr>
                              <w:tc>
                                <w:tcPr>
                                  <w:tcW w:w="10632" w:type="dxa"/>
                                  <w:vAlign w:val="center"/>
                                </w:tcPr>
                                <w:p w14:paraId="1421A926" w14:textId="77777777" w:rsidR="007E13F4" w:rsidRPr="003E0246" w:rsidRDefault="007E13F4"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6A62C7CE" w14:textId="77777777" w:rsidR="007E13F4" w:rsidRDefault="007E13F4"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6A982218" w14:textId="77777777" w:rsidR="007E13F4" w:rsidRDefault="007E13F4"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6F1898" w14:paraId="0CA2A84E" w14:textId="77777777" w:rsidTr="0051066D">
                              <w:trPr>
                                <w:trHeight w:val="20"/>
                              </w:trPr>
                              <w:tc>
                                <w:tcPr>
                                  <w:tcW w:w="10632" w:type="dxa"/>
                                </w:tcPr>
                                <w:p w14:paraId="44A51851" w14:textId="77777777" w:rsidR="007E13F4" w:rsidRPr="00642089" w:rsidRDefault="007E13F4" w:rsidP="000D139C">
                                  <w:pPr>
                                    <w:spacing w:before="240" w:after="0" w:line="240" w:lineRule="auto"/>
                                  </w:pPr>
                                  <w:r w:rsidRPr="00642089">
                                    <w:t>Attested on 04 March 2026 at 01:20 PM by Karen Roberts (Principal)</w:t>
                                  </w:r>
                                </w:p>
                              </w:tc>
                            </w:tr>
                          </w:tbl>
                          <w:p w14:paraId="571F79BF" w14:textId="77777777" w:rsidR="007E13F4" w:rsidRDefault="007E13F4"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F1898" w14:paraId="0F71B2DA" w14:textId="77777777" w:rsidTr="000D139C">
                              <w:trPr>
                                <w:trHeight w:val="522"/>
                              </w:trPr>
                              <w:tc>
                                <w:tcPr>
                                  <w:tcW w:w="10632" w:type="dxa"/>
                                  <w:vAlign w:val="center"/>
                                </w:tcPr>
                                <w:p w14:paraId="6D8E842D" w14:textId="77777777" w:rsidR="007E13F4" w:rsidRDefault="007E13F4"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6F1898" w14:paraId="183B5E04" w14:textId="77777777" w:rsidTr="000D139C">
                              <w:trPr>
                                <w:trHeight w:val="113"/>
                              </w:trPr>
                              <w:tc>
                                <w:tcPr>
                                  <w:tcW w:w="10632" w:type="dxa"/>
                                </w:tcPr>
                                <w:p w14:paraId="17E71C74" w14:textId="77777777" w:rsidR="007E13F4" w:rsidRPr="00642089" w:rsidRDefault="007E13F4" w:rsidP="000D139C">
                                  <w:pPr>
                                    <w:spacing w:before="240" w:after="0" w:line="240" w:lineRule="auto"/>
                                  </w:pPr>
                                  <w:r w:rsidRPr="00642089">
                                    <w:t>Attested on 19 March 2026 at 11:44 AM by Karen Roberts (Principal)</w:t>
                                  </w:r>
                                </w:p>
                              </w:tc>
                            </w:tr>
                          </w:tbl>
                          <w:p w14:paraId="38928B0E" w14:textId="77777777" w:rsidR="007E13F4" w:rsidRDefault="007E13F4" w:rsidP="00BB7B33"/>
                        </w:txbxContent>
                      </v:textbox>
                      <w10:wrap anchorx="margin"/>
                    </v:shape>
                  </w:pict>
                </mc:Fallback>
              </mc:AlternateContent>
            </w:r>
          </w:p>
        </w:tc>
      </w:tr>
    </w:tbl>
    <w:p w14:paraId="136E0D7C" w14:textId="77777777" w:rsidR="007E13F4" w:rsidRPr="00BB7B33" w:rsidRDefault="007E13F4" w:rsidP="00A56AED">
      <w:pPr>
        <w:pStyle w:val="Heading2"/>
        <w:rPr>
          <w:rFonts w:eastAsia="MS Mincho"/>
        </w:rPr>
      </w:pPr>
      <w:r w:rsidRPr="00BB7B33">
        <w:rPr>
          <w:rFonts w:eastAsia="MS Mincho"/>
          <w:noProof/>
        </w:rPr>
        <w:t>School Name: Carnegie Primary School (2897)</w:t>
      </w:r>
    </w:p>
    <w:p w14:paraId="00080AAB" w14:textId="77777777" w:rsidR="007E13F4" w:rsidRPr="00BB7B33" w:rsidRDefault="007E13F4" w:rsidP="00BB7B33">
      <w:pPr>
        <w:spacing w:before="0"/>
        <w:ind w:right="419"/>
        <w:rPr>
          <w:rFonts w:ascii="Arial" w:eastAsia="MS Mincho" w:hAnsi="Arial" w:cs="Arial"/>
          <w:color w:val="FFFFFF"/>
          <w:sz w:val="36"/>
          <w:szCs w:val="36"/>
        </w:rPr>
      </w:pPr>
    </w:p>
    <w:p w14:paraId="4F8DF393" w14:textId="77777777" w:rsidR="007E13F4" w:rsidRPr="00BB7B33" w:rsidRDefault="007E13F4" w:rsidP="00BB7B33">
      <w:pPr>
        <w:spacing w:before="0"/>
        <w:ind w:left="540" w:right="419"/>
        <w:rPr>
          <w:rFonts w:ascii="Arial" w:eastAsia="MS Mincho" w:hAnsi="Arial" w:cs="Arial"/>
          <w:color w:val="595959"/>
          <w:sz w:val="18"/>
          <w:szCs w:val="18"/>
        </w:rPr>
      </w:pPr>
    </w:p>
    <w:p w14:paraId="13C623C0" w14:textId="77777777" w:rsidR="007E13F4" w:rsidRDefault="007E13F4" w:rsidP="00BB7B33">
      <w:pPr>
        <w:keepNext/>
        <w:keepLines/>
        <w:spacing w:before="240"/>
        <w:jc w:val="center"/>
        <w:outlineLvl w:val="0"/>
        <w:rPr>
          <w:rFonts w:ascii="Arial" w:eastAsia="MS Mincho" w:hAnsi="Arial" w:cs="Arial"/>
          <w:color w:val="595959"/>
          <w:sz w:val="18"/>
          <w:szCs w:val="18"/>
        </w:rPr>
      </w:pPr>
    </w:p>
    <w:p w14:paraId="33563998" w14:textId="77777777" w:rsidR="007E13F4" w:rsidRPr="006364DC" w:rsidRDefault="007E13F4" w:rsidP="006364DC">
      <w:pPr>
        <w:rPr>
          <w:rFonts w:ascii="Arial" w:eastAsia="MS Gothic" w:hAnsi="Arial" w:cs="Times New Roman"/>
        </w:rPr>
      </w:pPr>
    </w:p>
    <w:p w14:paraId="0DEC4294" w14:textId="77777777" w:rsidR="007E13F4" w:rsidRPr="006364DC" w:rsidRDefault="007E13F4" w:rsidP="006364DC">
      <w:pPr>
        <w:rPr>
          <w:rFonts w:ascii="Arial" w:eastAsia="MS Gothic" w:hAnsi="Arial" w:cs="Times New Roman"/>
        </w:rPr>
      </w:pPr>
    </w:p>
    <w:p w14:paraId="3BC2F0BF" w14:textId="77777777" w:rsidR="007E13F4" w:rsidRPr="006364DC" w:rsidRDefault="007E13F4" w:rsidP="006364DC">
      <w:pPr>
        <w:rPr>
          <w:rFonts w:ascii="Arial" w:eastAsia="MS Gothic" w:hAnsi="Arial" w:cs="Times New Roman"/>
        </w:rPr>
      </w:pPr>
    </w:p>
    <w:p w14:paraId="409AA614" w14:textId="77777777" w:rsidR="007E13F4" w:rsidRPr="006364DC" w:rsidRDefault="007E13F4" w:rsidP="006364DC">
      <w:pPr>
        <w:rPr>
          <w:rFonts w:ascii="Arial" w:eastAsia="MS Gothic" w:hAnsi="Arial" w:cs="Times New Roman"/>
        </w:rPr>
      </w:pPr>
    </w:p>
    <w:p w14:paraId="07E22D2D" w14:textId="77777777" w:rsidR="007E13F4" w:rsidRPr="006364DC" w:rsidRDefault="007E13F4" w:rsidP="006364DC">
      <w:pPr>
        <w:rPr>
          <w:rFonts w:ascii="Arial" w:eastAsia="MS Gothic" w:hAnsi="Arial" w:cs="Times New Roman"/>
        </w:rPr>
      </w:pPr>
    </w:p>
    <w:p w14:paraId="0AEBDE02" w14:textId="77777777" w:rsidR="007E13F4" w:rsidRPr="006364DC" w:rsidRDefault="007E13F4" w:rsidP="006364DC">
      <w:pPr>
        <w:rPr>
          <w:rFonts w:ascii="Arial" w:eastAsia="MS Gothic" w:hAnsi="Arial" w:cs="Times New Roman"/>
        </w:rPr>
      </w:pPr>
    </w:p>
    <w:p w14:paraId="15B0B138" w14:textId="77777777" w:rsidR="007E13F4" w:rsidRPr="006364DC" w:rsidRDefault="007E13F4" w:rsidP="006364DC">
      <w:pPr>
        <w:rPr>
          <w:rFonts w:ascii="Arial" w:eastAsia="MS Gothic" w:hAnsi="Arial" w:cs="Times New Roman"/>
        </w:rPr>
      </w:pPr>
    </w:p>
    <w:p w14:paraId="368B778D" w14:textId="77777777" w:rsidR="007E13F4" w:rsidRPr="006364DC" w:rsidRDefault="007E13F4" w:rsidP="006364DC">
      <w:pPr>
        <w:rPr>
          <w:rFonts w:ascii="Arial" w:eastAsia="MS Gothic" w:hAnsi="Arial" w:cs="Times New Roman"/>
        </w:rPr>
      </w:pPr>
    </w:p>
    <w:p w14:paraId="1F763DA2" w14:textId="77777777" w:rsidR="007E13F4" w:rsidRPr="006364DC" w:rsidRDefault="007E13F4" w:rsidP="006364DC">
      <w:pPr>
        <w:rPr>
          <w:rFonts w:ascii="Arial" w:eastAsia="MS Gothic" w:hAnsi="Arial" w:cs="Times New Roman"/>
        </w:rPr>
      </w:pPr>
    </w:p>
    <w:p w14:paraId="1627286D" w14:textId="77777777" w:rsidR="007E13F4" w:rsidRPr="006364DC" w:rsidRDefault="007E13F4" w:rsidP="006364DC">
      <w:pPr>
        <w:rPr>
          <w:rFonts w:ascii="Arial" w:eastAsia="MS Gothic" w:hAnsi="Arial" w:cs="Times New Roman"/>
        </w:rPr>
      </w:pPr>
    </w:p>
    <w:p w14:paraId="77469664" w14:textId="77777777" w:rsidR="007E13F4" w:rsidRPr="006364DC" w:rsidRDefault="007E13F4" w:rsidP="006364DC">
      <w:pPr>
        <w:rPr>
          <w:rFonts w:ascii="Arial" w:eastAsia="MS Gothic" w:hAnsi="Arial" w:cs="Times New Roman"/>
        </w:rPr>
      </w:pPr>
    </w:p>
    <w:p w14:paraId="6A046E64" w14:textId="77777777" w:rsidR="007E13F4" w:rsidRPr="006364DC" w:rsidRDefault="007E13F4" w:rsidP="006364DC">
      <w:pPr>
        <w:rPr>
          <w:rFonts w:ascii="Arial" w:eastAsia="MS Gothic" w:hAnsi="Arial" w:cs="Times New Roman"/>
        </w:rPr>
      </w:pPr>
    </w:p>
    <w:p w14:paraId="470BDA1B" w14:textId="77777777" w:rsidR="007E13F4" w:rsidRPr="006364DC" w:rsidRDefault="007E13F4" w:rsidP="006364DC">
      <w:pPr>
        <w:rPr>
          <w:rFonts w:ascii="Arial" w:eastAsia="MS Gothic" w:hAnsi="Arial" w:cs="Times New Roman"/>
        </w:rPr>
      </w:pPr>
    </w:p>
    <w:p w14:paraId="2CBB073D" w14:textId="77777777" w:rsidR="007E13F4" w:rsidRPr="006364DC" w:rsidRDefault="007E13F4" w:rsidP="006364DC">
      <w:pPr>
        <w:rPr>
          <w:rFonts w:ascii="Arial" w:eastAsia="MS Gothic" w:hAnsi="Arial" w:cs="Times New Roman"/>
        </w:rPr>
      </w:pPr>
    </w:p>
    <w:p w14:paraId="1E11894D" w14:textId="77777777" w:rsidR="007E13F4" w:rsidRPr="006364DC" w:rsidRDefault="007E13F4" w:rsidP="006364DC">
      <w:pPr>
        <w:rPr>
          <w:rFonts w:ascii="Arial" w:eastAsia="MS Gothic" w:hAnsi="Arial" w:cs="Times New Roman"/>
        </w:rPr>
      </w:pPr>
    </w:p>
    <w:p w14:paraId="21CD1628" w14:textId="77777777" w:rsidR="007E13F4" w:rsidRPr="006364DC" w:rsidRDefault="007E13F4" w:rsidP="006364DC">
      <w:pPr>
        <w:rPr>
          <w:rFonts w:ascii="Arial" w:eastAsia="MS Gothic" w:hAnsi="Arial" w:cs="Times New Roman"/>
        </w:rPr>
      </w:pPr>
    </w:p>
    <w:p w14:paraId="53D7C570" w14:textId="77777777" w:rsidR="007E13F4" w:rsidRPr="006364DC" w:rsidRDefault="007E13F4" w:rsidP="006364DC">
      <w:pPr>
        <w:rPr>
          <w:rFonts w:ascii="Arial" w:eastAsia="MS Gothic" w:hAnsi="Arial" w:cs="Times New Roman"/>
        </w:rPr>
      </w:pPr>
    </w:p>
    <w:p w14:paraId="17BE296A" w14:textId="77777777" w:rsidR="007E13F4" w:rsidRPr="006364DC" w:rsidRDefault="007E13F4" w:rsidP="006364DC">
      <w:pPr>
        <w:rPr>
          <w:rFonts w:ascii="Arial" w:eastAsia="MS Gothic" w:hAnsi="Arial" w:cs="Times New Roman"/>
        </w:rPr>
      </w:pPr>
    </w:p>
    <w:p w14:paraId="7547852C" w14:textId="77777777" w:rsidR="007E13F4" w:rsidRPr="006364DC" w:rsidRDefault="007E13F4" w:rsidP="006364DC">
      <w:pPr>
        <w:rPr>
          <w:rFonts w:ascii="Arial" w:eastAsia="MS Gothic" w:hAnsi="Arial" w:cs="Times New Roman"/>
        </w:rPr>
      </w:pPr>
    </w:p>
    <w:p w14:paraId="53CCD5A1" w14:textId="77777777" w:rsidR="007E13F4" w:rsidRPr="006364DC" w:rsidRDefault="007E13F4" w:rsidP="006364DC">
      <w:pPr>
        <w:rPr>
          <w:rFonts w:ascii="Arial" w:eastAsia="MS Gothic" w:hAnsi="Arial" w:cs="Times New Roman"/>
        </w:rPr>
      </w:pPr>
    </w:p>
    <w:p w14:paraId="742C6A03" w14:textId="77777777" w:rsidR="007E13F4" w:rsidRPr="006364DC" w:rsidRDefault="007E13F4" w:rsidP="006364DC">
      <w:pPr>
        <w:rPr>
          <w:rFonts w:ascii="Arial" w:eastAsia="MS Gothic" w:hAnsi="Arial" w:cs="Times New Roman"/>
        </w:rPr>
      </w:pPr>
    </w:p>
    <w:p w14:paraId="66EBDDD6" w14:textId="77777777" w:rsidR="007E13F4" w:rsidRPr="006364DC" w:rsidRDefault="007E13F4" w:rsidP="006364DC">
      <w:pPr>
        <w:rPr>
          <w:rFonts w:ascii="Arial" w:eastAsia="MS Gothic" w:hAnsi="Arial" w:cs="Times New Roman"/>
        </w:rPr>
      </w:pPr>
    </w:p>
    <w:p w14:paraId="01AA588D" w14:textId="77777777" w:rsidR="007E13F4" w:rsidRPr="006364DC" w:rsidRDefault="007E13F4" w:rsidP="006364DC">
      <w:pPr>
        <w:rPr>
          <w:rFonts w:ascii="Arial" w:eastAsia="MS Gothic" w:hAnsi="Arial" w:cs="Times New Roman"/>
        </w:rPr>
      </w:pPr>
    </w:p>
    <w:p w14:paraId="7F13CBB9" w14:textId="77777777" w:rsidR="007E13F4" w:rsidRPr="006364DC" w:rsidRDefault="007E13F4" w:rsidP="006364DC">
      <w:pPr>
        <w:rPr>
          <w:rFonts w:ascii="Arial" w:eastAsia="MS Gothic" w:hAnsi="Arial" w:cs="Times New Roman"/>
        </w:rPr>
      </w:pPr>
    </w:p>
    <w:p w14:paraId="357B6262" w14:textId="77777777" w:rsidR="007E13F4" w:rsidRDefault="007E13F4"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597A1773" w14:textId="77777777" w:rsidR="007E13F4" w:rsidRPr="006364DC" w:rsidRDefault="007E13F4"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3BE28C6A" w14:textId="77777777" w:rsidR="006F1898" w:rsidRDefault="007E13F4">
      <w:pPr>
        <w:pStyle w:val="Heading10"/>
      </w:pPr>
      <w:bookmarkStart w:id="2" w:name="how-to-read-the-annual-report"/>
      <w:r>
        <w:t>How to read the Annual Report</w:t>
      </w:r>
    </w:p>
    <w:p w14:paraId="7D319F16" w14:textId="77777777" w:rsidR="006F1898" w:rsidRDefault="007E13F4">
      <w:pPr>
        <w:pStyle w:val="Heading20"/>
      </w:pPr>
      <w:bookmarkStart w:id="3" w:name="X7dae053837fd441fc10137421ccd7c20cf0e4c4"/>
      <w:r>
        <w:t xml:space="preserve">What does the </w:t>
      </w:r>
      <w:r>
        <w:rPr>
          <w:i/>
          <w:iCs/>
        </w:rPr>
        <w:t>About Our School</w:t>
      </w:r>
      <w:r>
        <w:t xml:space="preserve"> commentary section of this report refer to?</w:t>
      </w:r>
    </w:p>
    <w:p w14:paraId="73B1145D" w14:textId="77777777" w:rsidR="006F1898" w:rsidRDefault="007E13F4">
      <w:r>
        <w:t>The ‘About our school’ commentary provides a brief background on the school and an overview of the school’s performance over the previous calendar year.</w:t>
      </w:r>
    </w:p>
    <w:p w14:paraId="6B6719E9" w14:textId="77777777" w:rsidR="006F1898" w:rsidRDefault="007E13F4">
      <w:r>
        <w:t>The ‘School Context’ describes the school’s vision, values, and purpose. Details include the school’s geographic location, size and structure, social characteristics, enrolment characteristics, and special programs.</w:t>
      </w:r>
    </w:p>
    <w:p w14:paraId="6D59EFA9" w14:textId="77777777" w:rsidR="006F1898" w:rsidRDefault="007E13F4">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2E4C1584" w14:textId="77777777" w:rsidR="006F1898" w:rsidRDefault="007E13F4">
      <w:pPr>
        <w:pStyle w:val="Heading20"/>
      </w:pPr>
      <w:bookmarkStart w:id="4" w:name="X3f86002c48a0a3de82aada63598aa289f3922b4"/>
      <w:bookmarkEnd w:id="3"/>
      <w:r>
        <w:t>What does the ‘Performance Summary’ section of this report refer to?</w:t>
      </w:r>
    </w:p>
    <w:p w14:paraId="37E22AD1" w14:textId="77777777" w:rsidR="006F1898" w:rsidRDefault="007E13F4">
      <w:r>
        <w:t>The Performance Summary includes the following:</w:t>
      </w:r>
    </w:p>
    <w:p w14:paraId="7A9160CD" w14:textId="77777777" w:rsidR="006F1898" w:rsidRDefault="007E13F4">
      <w:pPr>
        <w:numPr>
          <w:ilvl w:val="0"/>
          <w:numId w:val="25"/>
        </w:numPr>
      </w:pPr>
      <w:r>
        <w:t>School Profile</w:t>
      </w:r>
    </w:p>
    <w:p w14:paraId="363B8040" w14:textId="77777777" w:rsidR="006F1898" w:rsidRDefault="007E13F4">
      <w:pPr>
        <w:numPr>
          <w:ilvl w:val="1"/>
          <w:numId w:val="26"/>
        </w:numPr>
      </w:pPr>
      <w:r>
        <w:t>student enrolment information</w:t>
      </w:r>
    </w:p>
    <w:p w14:paraId="23B3E0C2" w14:textId="77777777" w:rsidR="006F1898" w:rsidRDefault="007E13F4">
      <w:pPr>
        <w:numPr>
          <w:ilvl w:val="1"/>
          <w:numId w:val="26"/>
        </w:numPr>
      </w:pPr>
      <w:r>
        <w:t>the school’s ‘Student Family Occupation and Education’ category</w:t>
      </w:r>
    </w:p>
    <w:p w14:paraId="46C22D38" w14:textId="77777777" w:rsidR="006F1898" w:rsidRDefault="007E13F4">
      <w:pPr>
        <w:numPr>
          <w:ilvl w:val="1"/>
          <w:numId w:val="26"/>
        </w:numPr>
      </w:pPr>
      <w:r>
        <w:t>responses to the General Satisfaction area of the Parent/Caregiver/Guardian Opinion Survey</w:t>
      </w:r>
    </w:p>
    <w:p w14:paraId="224DA6C5" w14:textId="77777777" w:rsidR="006F1898" w:rsidRDefault="007E13F4">
      <w:pPr>
        <w:numPr>
          <w:ilvl w:val="1"/>
          <w:numId w:val="26"/>
        </w:numPr>
      </w:pPr>
      <w:r>
        <w:t>school staff responses to the School Climate area of the School Staff Survey</w:t>
      </w:r>
    </w:p>
    <w:p w14:paraId="18039CD9" w14:textId="77777777" w:rsidR="006F1898" w:rsidRDefault="007E13F4">
      <w:pPr>
        <w:numPr>
          <w:ilvl w:val="0"/>
          <w:numId w:val="25"/>
        </w:numPr>
      </w:pPr>
      <w:r>
        <w:t>Learning</w:t>
      </w:r>
    </w:p>
    <w:p w14:paraId="5DA4FD08" w14:textId="77777777" w:rsidR="006F1898" w:rsidRDefault="007E13F4">
      <w:pPr>
        <w:numPr>
          <w:ilvl w:val="1"/>
          <w:numId w:val="27"/>
        </w:numPr>
      </w:pPr>
      <w:r>
        <w:t>English and Mathematics for Teacher Judgements against the curriculum</w:t>
      </w:r>
    </w:p>
    <w:p w14:paraId="1D8C11B2" w14:textId="77777777" w:rsidR="006F1898" w:rsidRDefault="007E13F4">
      <w:pPr>
        <w:numPr>
          <w:ilvl w:val="1"/>
          <w:numId w:val="27"/>
        </w:numPr>
      </w:pPr>
      <w:r>
        <w:t>Reading and Numeracy proficiency levels for National Literacy and Numeracy tests (NAPLAN)</w:t>
      </w:r>
    </w:p>
    <w:p w14:paraId="218FA1D2" w14:textId="77777777" w:rsidR="006F1898" w:rsidRDefault="007E13F4">
      <w:pPr>
        <w:numPr>
          <w:ilvl w:val="1"/>
          <w:numId w:val="27"/>
        </w:numPr>
      </w:pPr>
      <w:r>
        <w:t>Reading and Numeracy relative growth for National Literacy and Numeracy tests (NAPLAN)</w:t>
      </w:r>
    </w:p>
    <w:p w14:paraId="1E3FCC0F" w14:textId="77777777" w:rsidR="006F1898" w:rsidRDefault="007E13F4">
      <w:pPr>
        <w:numPr>
          <w:ilvl w:val="0"/>
          <w:numId w:val="25"/>
        </w:numPr>
      </w:pPr>
      <w:r>
        <w:t>Wellbeing</w:t>
      </w:r>
    </w:p>
    <w:p w14:paraId="10841BF7" w14:textId="77777777" w:rsidR="006F1898" w:rsidRDefault="007E13F4">
      <w:pPr>
        <w:numPr>
          <w:ilvl w:val="1"/>
          <w:numId w:val="28"/>
        </w:numPr>
      </w:pPr>
      <w:r>
        <w:t>student responses to the Sense of Connectedness area in the Student Attitudes to School Survey</w:t>
      </w:r>
    </w:p>
    <w:p w14:paraId="37319545" w14:textId="77777777" w:rsidR="006F1898" w:rsidRDefault="007E13F4">
      <w:pPr>
        <w:numPr>
          <w:ilvl w:val="1"/>
          <w:numId w:val="28"/>
        </w:numPr>
      </w:pPr>
      <w:r>
        <w:t>student responses to the Management of Bullying area in the Student Attitudes to School Survey</w:t>
      </w:r>
    </w:p>
    <w:p w14:paraId="043836EF" w14:textId="77777777" w:rsidR="006F1898" w:rsidRDefault="007E13F4">
      <w:pPr>
        <w:numPr>
          <w:ilvl w:val="0"/>
          <w:numId w:val="25"/>
        </w:numPr>
      </w:pPr>
      <w:r>
        <w:t>Engagement</w:t>
      </w:r>
    </w:p>
    <w:p w14:paraId="7BA03182" w14:textId="77777777" w:rsidR="006F1898" w:rsidRDefault="007E13F4">
      <w:pPr>
        <w:numPr>
          <w:ilvl w:val="1"/>
          <w:numId w:val="29"/>
        </w:numPr>
      </w:pPr>
      <w:r>
        <w:t>average absence days per student</w:t>
      </w:r>
    </w:p>
    <w:p w14:paraId="4B983B64" w14:textId="77777777" w:rsidR="006F1898" w:rsidRDefault="007E13F4">
      <w:pPr>
        <w:numPr>
          <w:ilvl w:val="1"/>
          <w:numId w:val="29"/>
        </w:numPr>
      </w:pPr>
      <w:r>
        <w:t>student attendance rate</w:t>
      </w:r>
    </w:p>
    <w:p w14:paraId="2A2B4C36" w14:textId="77777777" w:rsidR="006F1898" w:rsidRDefault="007E13F4">
      <w:r>
        <w:t>Key terms used in the Performance Summary are defined below:</w:t>
      </w:r>
    </w:p>
    <w:p w14:paraId="5A178823" w14:textId="77777777" w:rsidR="006F1898" w:rsidRDefault="007E13F4">
      <w:pPr>
        <w:pStyle w:val="Heading30"/>
      </w:pPr>
      <w:bookmarkStart w:id="5" w:name="similar-schools"/>
      <w:r>
        <w:t>Similar Schools</w:t>
      </w:r>
    </w:p>
    <w:p w14:paraId="53CE7C5B" w14:textId="77777777" w:rsidR="006F1898" w:rsidRDefault="007E13F4">
      <w:r>
        <w:t>Similar Schools are a group of Victorian government schools with similar characteristics to the school.</w:t>
      </w:r>
    </w:p>
    <w:p w14:paraId="3385A080" w14:textId="77777777" w:rsidR="006F1898" w:rsidRDefault="007E13F4">
      <w:r>
        <w:t>This grouping of schools has been created by comparing each school’s socio-economic background of students, the number of non-English speaking students and the school’s size and location.</w:t>
      </w:r>
    </w:p>
    <w:p w14:paraId="286B287E" w14:textId="77777777" w:rsidR="006F1898" w:rsidRDefault="007E13F4">
      <w:pPr>
        <w:pStyle w:val="Heading30"/>
      </w:pPr>
      <w:bookmarkStart w:id="6" w:name="ndp-and-nda"/>
      <w:bookmarkEnd w:id="5"/>
      <w:r>
        <w:t>NDP and NDA</w:t>
      </w:r>
    </w:p>
    <w:p w14:paraId="31FD2305" w14:textId="77777777" w:rsidR="006F1898" w:rsidRDefault="007E13F4">
      <w:r>
        <w:t>‘NDP’ refers to no data being published for privacy reasons or where there are insufficient underlying data. For example, very low numbers of participants or characteristics that may lead to identification will result in an ‘NDP’ label.</w:t>
      </w:r>
    </w:p>
    <w:p w14:paraId="573547F6" w14:textId="77777777" w:rsidR="006F1898" w:rsidRDefault="007E13F4">
      <w:r>
        <w:t>‘NDA’ refers to no data being available. Some schools have no data for particular measures due to low enrolments. There may be no students enrolled in some year levels, so school comparisons are not possible.</w:t>
      </w:r>
    </w:p>
    <w:p w14:paraId="32169DB5" w14:textId="77777777" w:rsidR="006F1898" w:rsidRDefault="007E13F4">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28ACED77" w14:textId="77777777" w:rsidR="006F1898" w:rsidRDefault="007E13F4">
      <w:pPr>
        <w:pStyle w:val="Heading30"/>
      </w:pPr>
      <w:bookmarkStart w:id="7" w:name="the-victorian-curriculum"/>
      <w:bookmarkEnd w:id="6"/>
      <w:r>
        <w:t>The Victorian Curriculum</w:t>
      </w:r>
    </w:p>
    <w:p w14:paraId="0D1EB75D" w14:textId="77777777" w:rsidR="006F1898" w:rsidRDefault="007E13F4">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6E6D290C" w14:textId="77777777" w:rsidR="006F1898" w:rsidRDefault="007E13F4">
      <w:r>
        <w:t>The Victorian Curriculum is assessed through teacher judgements of student achievement based on classroom learning.</w:t>
      </w:r>
    </w:p>
    <w:p w14:paraId="6CCCAF63" w14:textId="77777777" w:rsidR="006F1898" w:rsidRDefault="007E13F4">
      <w:r>
        <w:t>The curriculum has been developed to ensure that school subjects and their achievement standards enable continuous learning for all students, including students with disabilities.</w:t>
      </w:r>
    </w:p>
    <w:p w14:paraId="037156E4" w14:textId="77777777" w:rsidR="006F1898" w:rsidRDefault="007E13F4">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2E1F07ED" w14:textId="77777777" w:rsidR="006F1898" w:rsidRDefault="007E13F4">
      <w:pPr>
        <w:pStyle w:val="Heading20"/>
      </w:pPr>
      <w:bookmarkStart w:id="8" w:name="X6752e4e4dcbe51ad748a17b48e3170688bc559d"/>
      <w:bookmarkEnd w:id="4"/>
      <w:bookmarkEnd w:id="7"/>
      <w:r>
        <w:t>Updates to the ‘Performance Summary’ in the 2025 Annual Report</w:t>
      </w:r>
    </w:p>
    <w:p w14:paraId="777FD12E" w14:textId="77777777" w:rsidR="006F1898" w:rsidRDefault="007E13F4">
      <w:r>
        <w:t>NAPLAN relative growth data has been included in the 2025 Performance Summary as there is sufficient data available for the comparison.</w:t>
      </w:r>
    </w:p>
    <w:p w14:paraId="7D88D9DA" w14:textId="77777777" w:rsidR="006F1898" w:rsidRDefault="006F1898">
      <w:pPr>
        <w:sectPr w:rsidR="006F1898">
          <w:pgSz w:w="11906" w:h="16838"/>
          <w:pgMar w:top="1134" w:right="567" w:bottom="1701" w:left="567" w:header="0" w:footer="708" w:gutter="0"/>
          <w:cols w:space="720"/>
        </w:sectPr>
      </w:pPr>
    </w:p>
    <w:p w14:paraId="061A820D" w14:textId="77777777" w:rsidR="007E13F4" w:rsidRDefault="007E13F4"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F1898" w14:paraId="7598A46C" w14:textId="77777777" w:rsidTr="006F18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41FBD7F5" w14:textId="77777777" w:rsidR="007E13F4" w:rsidRPr="00A56AED" w:rsidRDefault="007E13F4" w:rsidP="00A56AED">
            <w:pPr>
              <w:pStyle w:val="Heading2"/>
              <w:rPr>
                <w:bCs w:val="0"/>
              </w:rPr>
            </w:pPr>
            <w:r w:rsidRPr="00A56AED">
              <w:rPr>
                <w:b w:val="0"/>
                <w:bCs w:val="0"/>
              </w:rPr>
              <w:t>School context</w:t>
            </w:r>
          </w:p>
        </w:tc>
      </w:tr>
      <w:tr w:rsidR="006F1898" w14:paraId="0B7A28A0"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7BE8BBF1" w14:textId="77777777" w:rsidR="007E13F4" w:rsidRPr="00A56AED" w:rsidRDefault="007E13F4" w:rsidP="00A56AED">
            <w:pPr>
              <w:rPr>
                <w:rFonts w:ascii="Arial" w:eastAsia="Arial" w:hAnsi="Arial" w:cs="Arial"/>
                <w:color w:val="auto"/>
                <w:sz w:val="22"/>
                <w:szCs w:val="22"/>
              </w:rPr>
            </w:pPr>
            <w:r w:rsidRPr="00A56AED">
              <w:rPr>
                <w:rFonts w:ascii="Arial" w:eastAsia="Arial" w:hAnsi="Arial" w:cs="Arial"/>
                <w:color w:val="auto"/>
                <w:sz w:val="22"/>
              </w:rPr>
              <w:t>School context Carnegie Primary School, founded in 1888, is in the south-eastern suburbs, approximately 15 kilometres from Melbourne. 2025 enrolment was 566 students (271 female and 295 male) with 30% of students having English as an additional language.</w:t>
            </w:r>
          </w:p>
          <w:p w14:paraId="2A7EFE5E" w14:textId="77777777" w:rsidR="007E13F4" w:rsidRPr="00A56AED" w:rsidRDefault="007E13F4" w:rsidP="00A56AED">
            <w:pPr>
              <w:rPr>
                <w:rFonts w:ascii="Arial" w:eastAsia="Arial" w:hAnsi="Arial" w:cs="Arial"/>
                <w:color w:val="auto"/>
                <w:sz w:val="22"/>
                <w:szCs w:val="22"/>
              </w:rPr>
            </w:pPr>
            <w:r w:rsidRPr="00A56AED">
              <w:rPr>
                <w:rFonts w:ascii="Arial" w:eastAsia="Arial" w:hAnsi="Arial" w:cs="Arial"/>
                <w:color w:val="auto"/>
                <w:sz w:val="22"/>
              </w:rPr>
              <w:t>Our School Vision: We foster a learning environment where every child is empowered to succeed through explicit teaching and shared routines. We ensure that students acquire the skills and knowledge necessary to thrive academically and socially. We believe in setting high expectations for all, supporting each child's unique journey and preparing them to face challenges with confidence and resilience.</w:t>
            </w:r>
          </w:p>
          <w:p w14:paraId="64F132B0" w14:textId="77777777" w:rsidR="007E13F4" w:rsidRPr="00A56AED" w:rsidRDefault="007E13F4" w:rsidP="00A56AED">
            <w:pPr>
              <w:rPr>
                <w:rFonts w:ascii="Arial" w:eastAsia="Arial" w:hAnsi="Arial" w:cs="Arial"/>
                <w:color w:val="auto"/>
                <w:sz w:val="22"/>
                <w:szCs w:val="22"/>
              </w:rPr>
            </w:pPr>
            <w:r w:rsidRPr="00A56AED">
              <w:rPr>
                <w:rFonts w:ascii="Arial" w:eastAsia="Arial" w:hAnsi="Arial" w:cs="Arial"/>
                <w:color w:val="auto"/>
                <w:sz w:val="22"/>
              </w:rPr>
              <w:t>Our School Values of Respectful, Resilience, Curiosity and Integrity are at the forefront of what we embed daily. We are implementing School Wide Positive Behaviours that reinforce respectful, responsible, and safe behaviours throughout the entire school community to foster a culture of mutual respect and cooperation.</w:t>
            </w:r>
          </w:p>
          <w:p w14:paraId="14328246" w14:textId="77777777" w:rsidR="007E13F4" w:rsidRPr="00A56AED" w:rsidRDefault="007E13F4" w:rsidP="00A56AED">
            <w:pPr>
              <w:rPr>
                <w:rFonts w:ascii="Arial" w:eastAsia="Arial" w:hAnsi="Arial" w:cs="Arial"/>
                <w:color w:val="auto"/>
                <w:sz w:val="22"/>
                <w:szCs w:val="22"/>
              </w:rPr>
            </w:pPr>
            <w:r w:rsidRPr="00A56AED">
              <w:rPr>
                <w:rFonts w:ascii="Arial" w:eastAsia="Arial" w:hAnsi="Arial" w:cs="Arial"/>
                <w:color w:val="auto"/>
                <w:sz w:val="22"/>
              </w:rPr>
              <w:t>Our comprehensive curriculum is designed to cater for the individual needs of a diverse range of students. We promote and implement evidence-based teaching and learning strategies. Our school’s focus is Numeracy and Literacy underpinned by a strong wellbeing strategy. Our school wide initiatives are based on the science of learning and acknowledge how our brains work and remember things (Cognitive Load), and the best ways to teach. We are writing a Carnegie Playbook to ensure that ‘every year, every teacher</w:t>
            </w:r>
            <w:r w:rsidRPr="00A56AED">
              <w:rPr>
                <w:rFonts w:ascii="Arial" w:eastAsia="Arial" w:hAnsi="Arial" w:cs="Arial"/>
                <w:color w:val="auto"/>
                <w:sz w:val="22"/>
              </w:rPr>
              <w:t xml:space="preserve"> is getting better’. We know that we cannot improve practices that are not clearly defined. Specialist programs are offered in Physical Education, Visual Arts, Performing Arts, Science and Japanese. High expectations are held for every student at our school. We offer additional Literacy Intervention (Mini Lit and Mac Lit) to support our students. We run a range of ‘Student Excellence’ programs and challenges. Students are encouraged to participate in a range of additional learning that the school provides i</w:t>
            </w:r>
            <w:r w:rsidRPr="00A56AED">
              <w:rPr>
                <w:rFonts w:ascii="Arial" w:eastAsia="Arial" w:hAnsi="Arial" w:cs="Arial"/>
                <w:color w:val="auto"/>
                <w:sz w:val="22"/>
              </w:rPr>
              <w:t>n sport, the Arts, high abilities extension opportunities, and caring for the environment. The school fosters close links with parents and the broader community and recognises the importance of the partnerships to support and extend student learning achievement and growth, engagement and wellbeing. We share a commitment to, and a responsibility for, ensuring inclusive, safe and orderly environments for all staff and students.</w:t>
            </w:r>
          </w:p>
          <w:p w14:paraId="70BC8654" w14:textId="77777777" w:rsidR="007E13F4" w:rsidRPr="00A56AED" w:rsidRDefault="007E13F4" w:rsidP="00A56AED">
            <w:pPr>
              <w:rPr>
                <w:rFonts w:ascii="Arial" w:eastAsia="Arial" w:hAnsi="Arial" w:cs="Arial"/>
                <w:color w:val="auto"/>
                <w:sz w:val="22"/>
              </w:rPr>
            </w:pPr>
          </w:p>
        </w:tc>
      </w:tr>
      <w:tr w:rsidR="006F1898" w14:paraId="71B33C57"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68752903" w14:textId="77777777" w:rsidR="007E13F4" w:rsidRPr="00A56AED" w:rsidRDefault="007E13F4" w:rsidP="00A56AED">
            <w:pPr>
              <w:pStyle w:val="Heading2"/>
              <w:rPr>
                <w:bCs w:val="0"/>
              </w:rPr>
            </w:pPr>
            <w:r w:rsidRPr="00BB7B33">
              <w:rPr>
                <w:rFonts w:eastAsia="MS Gothic"/>
              </w:rPr>
              <w:t>Progress towards strategic goals, student outcomes and student engagement</w:t>
            </w:r>
          </w:p>
        </w:tc>
      </w:tr>
      <w:tr w:rsidR="006F1898" w14:paraId="2E30F59F"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041ED729" w14:textId="77777777" w:rsidR="007E13F4" w:rsidRPr="00BB7B33" w:rsidRDefault="007E13F4" w:rsidP="00A56AED">
            <w:pPr>
              <w:pStyle w:val="Heading3"/>
              <w:rPr>
                <w:rFonts w:eastAsia="MS Gothic"/>
              </w:rPr>
            </w:pPr>
            <w:r w:rsidRPr="00BB7B33">
              <w:t>Learning</w:t>
            </w:r>
          </w:p>
        </w:tc>
      </w:tr>
      <w:tr w:rsidR="006F1898" w14:paraId="239C8867"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274B914E"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Maximise learning outcomes in literacy and numeracy for every student</w:t>
            </w:r>
          </w:p>
          <w:p w14:paraId="19122E30"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In 2025, the school has continued to demonstrate strong achievement and growth in literacy and numeracy, reflecting sustained implementation of VTLM 2.0 and strengthened assessment practices (KIS 1.b and 1.c).</w:t>
            </w:r>
          </w:p>
          <w:p w14:paraId="69829A89"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Teacher judgement data indicates that 96.9% of Prep–6 students are working at or above age expected standards in English and 95.7% in Mathematics, both above similar schools and state averages. This reflects consistent curriculum alignment, explicit instruction and responsive assessment practices across year levels.</w:t>
            </w:r>
          </w:p>
          <w:p w14:paraId="526F7553"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NAPLAN results remain strong, with a high proportion of students in the Strong or Exceeding proficiency levels across Year 3 and 5 Reading and Numeracy. Year 3 Reading (85.2%) and Numeracy (84.1%), and Year 5 Reading (86.1%) and Numeracy (89.6%) remain significantly above state averages and broadly comparable with similar schools. Importantly, relative growth from Year 3 to 5 shows 80.8% of students achieving High or Medium growth in Reading and 76.1% in Numeracy, demonstrating sustained progress over time.</w:t>
            </w:r>
          </w:p>
          <w:p w14:paraId="18F4DF26"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These outcomes indicate positive movement toward our 12-month proficiency targets and a reduction in students requiring additional support, supported by tiered intervention structures and targeted literacy programs.</w:t>
            </w:r>
          </w:p>
          <w:p w14:paraId="05218129"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Staff Survey targets linked to academic emphasis, peer observation and feedback remain a focus, with professional learning structures, coaching cycles and peer observation embedded more systematically throughout 2025.</w:t>
            </w:r>
          </w:p>
          <w:p w14:paraId="7164B8E4"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Overall, the school is on track toward achieving its strategic goals, with evidence that strengthened curriculum knowledge, assessment literacy and data-informed practice are positively impacting student outcomes and engagement in learning.</w:t>
            </w:r>
          </w:p>
          <w:p w14:paraId="4015E91B" w14:textId="77777777" w:rsidR="007E13F4" w:rsidRPr="00BB7B33" w:rsidRDefault="007E13F4" w:rsidP="00A56AED">
            <w:pPr>
              <w:rPr>
                <w:rFonts w:ascii="Arial" w:eastAsia="Arial" w:hAnsi="Arial" w:cs="Arial"/>
                <w:color w:val="auto"/>
                <w:sz w:val="22"/>
              </w:rPr>
            </w:pPr>
          </w:p>
        </w:tc>
      </w:tr>
      <w:tr w:rsidR="006F1898" w14:paraId="21B38E7E"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472997DB" w14:textId="77777777" w:rsidR="007E13F4" w:rsidRPr="00BB7B33" w:rsidRDefault="007E13F4" w:rsidP="00A56AED">
            <w:pPr>
              <w:pStyle w:val="Heading3"/>
              <w:rPr>
                <w:rFonts w:eastAsia="MS Gothic"/>
              </w:rPr>
            </w:pPr>
            <w:r w:rsidRPr="00BB7B33">
              <w:t>Wellbeing</w:t>
            </w:r>
          </w:p>
        </w:tc>
      </w:tr>
      <w:tr w:rsidR="006F1898" w14:paraId="364D3B02"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006E3AC3"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Our 2025 Attitudes to School Survey results demonstrate a stable foundation in student wellbeing and connection across Years 4–6. Student feedback continues to inform our school improvement priorities.</w:t>
            </w:r>
          </w:p>
          <w:p w14:paraId="1FD10D27"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In Sense of Connectedness, 78.9% of students reported positive endorsement, exceeding the state benchmark of 77.1% and closely aligned with similar schools. Our four-year average of 80.7% reflects sustained strength and indicates that most students feel accepted, included, and supported. Maintaining strong relationships between students, staff, and families remains a key priority.</w:t>
            </w:r>
          </w:p>
          <w:p w14:paraId="31F2617E"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In Managing Bullying, 69.6% of students reported positive endorsement. While this remains an area of focus, our four-year average of 74.6% demonstrates a consistent commitment to student safety and wellbeing. </w:t>
            </w:r>
          </w:p>
          <w:p w14:paraId="3A92F953"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To support these outcomes, we continued embedding the School-Wide Positive Behaviour Support (SWPBS) framework, strengthening a consistent and proactive approach to positive behaviour across the school. Our Social and Emotional Learning Scope and Sequence provides structured teaching of wellbeing skills at every year level, incorporating programs such as Respectful Relationships, Social Stencils, and Zones of Regulation.</w:t>
            </w:r>
          </w:p>
          <w:p w14:paraId="3373BF7B"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We also strengthened targeted support for students. Disability Inclusion Profile (DIP) funding enabled further development of our Education Support team. Staff participated in additional training to ensure consistent structures and expanded implementation across intervention programs. Collaboration with a range of Allied Health Professionals, along with the support of our on-site School Nurse and Psych in Schools team, has enhanced our capacity to respond to individual student needs. </w:t>
            </w:r>
          </w:p>
          <w:p w14:paraId="7A859710"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Together, these initiatives reflect our ongoing commitment to providing a safe, inclusive, and connected learning environment.</w:t>
            </w:r>
          </w:p>
          <w:p w14:paraId="720148A8" w14:textId="77777777" w:rsidR="007E13F4" w:rsidRPr="00BB7B33" w:rsidRDefault="007E13F4" w:rsidP="00A56AED">
            <w:pPr>
              <w:rPr>
                <w:rFonts w:ascii="Arial" w:eastAsia="Arial" w:hAnsi="Arial" w:cs="Arial"/>
                <w:color w:val="auto"/>
                <w:sz w:val="22"/>
              </w:rPr>
            </w:pPr>
          </w:p>
        </w:tc>
      </w:tr>
      <w:tr w:rsidR="006F1898" w14:paraId="0FFBDF20"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4BDD9DCF" w14:textId="77777777" w:rsidR="007E13F4" w:rsidRPr="00BB7B33" w:rsidRDefault="007E13F4" w:rsidP="00A56AED">
            <w:pPr>
              <w:pStyle w:val="Heading3"/>
              <w:rPr>
                <w:rFonts w:eastAsia="MS Gothic"/>
              </w:rPr>
            </w:pPr>
            <w:r w:rsidRPr="00BB7B33">
              <w:t>Engagement</w:t>
            </w:r>
          </w:p>
        </w:tc>
      </w:tr>
      <w:tr w:rsidR="006F1898" w14:paraId="1C2C2825"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4CAB88B2"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 xml:space="preserve">Student attendance data indicates that overall engagement at the school remains positive, with attendance rates consistently above 89% across all year levels in 2025. The average absence days per student (Prep–Year 6) was 17.1 days, slightly lower than similar schools (17.4 days) and notably lower than the state average (21.5 days). The four-year average of 17.7 days also compares favourably with similar schools (18.0 days) and remains well below the state average (21.7 days). This sustained trend suggests </w:t>
            </w:r>
            <w:r w:rsidRPr="00BB7B33">
              <w:rPr>
                <w:rFonts w:ascii="Arial" w:eastAsia="Arial" w:hAnsi="Arial" w:cs="Arial"/>
                <w:color w:val="auto"/>
                <w:sz w:val="22"/>
              </w:rPr>
              <w:t>that students at our school attend more regularly than their state peers, supporting continuity of learning and improved wellbeing outcomes. While illness and family holidays continue to account for most absences, the school maintains a proactive focus on promoting the importance of regular attendance.</w:t>
            </w:r>
          </w:p>
          <w:p w14:paraId="6BA7E5BC" w14:textId="77777777" w:rsidR="007E13F4" w:rsidRPr="00BB7B33" w:rsidRDefault="007E13F4" w:rsidP="00A56AED">
            <w:pPr>
              <w:rPr>
                <w:rFonts w:ascii="Arial" w:eastAsia="Arial" w:hAnsi="Arial" w:cs="Arial"/>
                <w:color w:val="auto"/>
                <w:sz w:val="22"/>
                <w:szCs w:val="22"/>
              </w:rPr>
            </w:pPr>
            <w:r w:rsidRPr="00BB7B33">
              <w:rPr>
                <w:rFonts w:ascii="Arial" w:eastAsia="Arial" w:hAnsi="Arial" w:cs="Arial"/>
                <w:color w:val="auto"/>
                <w:sz w:val="22"/>
              </w:rPr>
              <w:t>Engagement Highlights</w:t>
            </w:r>
          </w:p>
          <w:p w14:paraId="23254BAB" w14:textId="77777777" w:rsidR="007E13F4" w:rsidRPr="00BB7B33" w:rsidRDefault="007E13F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Student surveys are used to inform wellbeing and learning priorities, ensuring student perspectives contribute meaningfully to decision-making. Leadership opportunities, including School Captains, House Captains, peer mediators and buddy programs, empower students to take active roles within the school community. These initiatives foster responsibility, connectedness and a strong sense of belonging.</w:t>
            </w:r>
          </w:p>
          <w:p w14:paraId="68D4A806" w14:textId="77777777" w:rsidR="007E13F4" w:rsidRPr="00BB7B33" w:rsidRDefault="007E13F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A structured approach to wellbeing supports students to feel safe, included and ready to learn. Positive behaviour frameworks reinforce consistent expectations and promote a respectful learning environment. Targeted wellbeing check-ins provide additional support for vulnerable students and the use of the NEST as a space that supports student wellbeing. Comprehensive transition programs, including Kindergarten to Prep and Year 6 to secondary school, strengthen confidence and continuity at key stages of learn</w:t>
            </w:r>
            <w:r w:rsidRPr="00BB7B33">
              <w:rPr>
                <w:rFonts w:ascii="Arial" w:eastAsia="Arial" w:hAnsi="Arial" w:cs="Arial"/>
                <w:color w:val="auto"/>
                <w:sz w:val="22"/>
              </w:rPr>
              <w:t>ing.</w:t>
            </w:r>
          </w:p>
          <w:p w14:paraId="413EE444" w14:textId="77777777" w:rsidR="007E13F4" w:rsidRPr="00BB7B33" w:rsidRDefault="007E13F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 xml:space="preserve">A broad range of extracurricular opportunities enhances student motivation and connection to school. Students participate in sport, interschool competitions and district events, choir and cultural celebrations. Lunchtime interest clubs provide additional opportunities to explore personal interests and build peer relationships. Camps, excursions and student excellence activities across a variety of subject areas further promote engagement and connection with network schools. The Story Dogs volunteer reading </w:t>
            </w:r>
            <w:r w:rsidRPr="00BB7B33">
              <w:rPr>
                <w:rFonts w:ascii="Arial" w:eastAsia="Arial" w:hAnsi="Arial" w:cs="Arial"/>
                <w:color w:val="auto"/>
                <w:sz w:val="22"/>
              </w:rPr>
              <w:t>program supports literacy development while building student confidence.</w:t>
            </w:r>
          </w:p>
          <w:p w14:paraId="24C7E8BC" w14:textId="77777777" w:rsidR="007E13F4" w:rsidRPr="00BB7B33" w:rsidRDefault="007E13F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Community-building events such as Popcorn Day, Icy Pole Day and the annual fete, coordinated by the Parents and Friends Association (PFA), further strengthen school connectedness and foster positive partnerships between families and the school. These events contribute to a strong sense of belonging and enhance student enthusiasm for school participation</w:t>
            </w:r>
          </w:p>
          <w:p w14:paraId="24383A95" w14:textId="77777777" w:rsidR="007E13F4" w:rsidRPr="00BB7B33" w:rsidRDefault="007E13F4" w:rsidP="00A56AED">
            <w:pPr>
              <w:rPr>
                <w:rFonts w:ascii="Arial" w:eastAsia="Arial" w:hAnsi="Arial" w:cs="Arial"/>
                <w:color w:val="auto"/>
                <w:sz w:val="22"/>
              </w:rPr>
            </w:pPr>
          </w:p>
        </w:tc>
      </w:tr>
      <w:tr w:rsidR="006F1898" w14:paraId="365D555D"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650CC7E4" w14:textId="77777777" w:rsidR="007E13F4" w:rsidRPr="00BB7B33" w:rsidRDefault="007E13F4" w:rsidP="00A56AED">
            <w:pPr>
              <w:pStyle w:val="Heading2"/>
              <w:rPr>
                <w:rFonts w:eastAsia="MS Gothic"/>
              </w:rPr>
            </w:pPr>
            <w:r w:rsidRPr="00BB7B33">
              <w:rPr>
                <w:rFonts w:eastAsia="MS Gothic"/>
              </w:rPr>
              <w:t>Other highlights from the school year</w:t>
            </w:r>
          </w:p>
        </w:tc>
      </w:tr>
      <w:tr w:rsidR="006F1898" w14:paraId="74D63159"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35A09AF7" w14:textId="77777777" w:rsidR="007E13F4" w:rsidRPr="00BB7B33" w:rsidRDefault="007E13F4" w:rsidP="00476100">
            <w:pPr>
              <w:rPr>
                <w:rFonts w:ascii="Arial" w:eastAsia="Arial" w:hAnsi="Arial" w:cs="Arial"/>
                <w:color w:val="auto"/>
                <w:sz w:val="22"/>
                <w:szCs w:val="22"/>
              </w:rPr>
            </w:pPr>
            <w:r w:rsidRPr="00BB7B33">
              <w:rPr>
                <w:rFonts w:ascii="Arial" w:eastAsia="Arial" w:hAnsi="Arial" w:cs="Arial"/>
                <w:color w:val="auto"/>
                <w:sz w:val="22"/>
              </w:rPr>
              <w:t>In 2025, Carnegie Primary School provided a comprehensive and engaging range of learning experiences beyond the classroom. Students in Grades 3–6 participated in school camps that fostered independence, resilience and teamwork, while students from Prep to Grade 6 were involved in curriculum-aligned excursions including visits to Rayners Orchard, Scienceworks, ACMI and the Melbourne Museum to deepen and enrich classroom learning. Throughout the year, the school community came together for a number of signifi</w:t>
            </w:r>
            <w:r w:rsidRPr="00BB7B33">
              <w:rPr>
                <w:rFonts w:ascii="Arial" w:eastAsia="Arial" w:hAnsi="Arial" w:cs="Arial"/>
                <w:color w:val="auto"/>
                <w:sz w:val="22"/>
              </w:rPr>
              <w:t>cant whole-school events and celebrations, including the much-anticipated Spring Carnival and Art Show, which showcased student creativity and strengthened community connections through rides, stalls and entertainment. Additional community-building events such as Mother’s and Father’s Day stalls and school discos further enhanced student engagement and family involvement. Student participation and achievement in sport were celebrated through the House Swimming Carnival, House Cross Country and interschool w</w:t>
            </w:r>
            <w:r w:rsidRPr="00BB7B33">
              <w:rPr>
                <w:rFonts w:ascii="Arial" w:eastAsia="Arial" w:hAnsi="Arial" w:cs="Arial"/>
                <w:color w:val="auto"/>
                <w:sz w:val="22"/>
              </w:rPr>
              <w:t>inter sports, with many students progressing to higher levels of competition. Strong community partnerships, particularly through the dedicated work of the Parents and Friends Association, supported key fundraising initiatives and school programs. Environmental sustainability was a focus with students actively engaged in Envirostar activities and World Environment Day initiatives that promoted environmental awareness and responsibility.</w:t>
            </w:r>
          </w:p>
          <w:p w14:paraId="6D65C8D3" w14:textId="77777777" w:rsidR="007E13F4" w:rsidRPr="00BB7B33" w:rsidRDefault="007E13F4" w:rsidP="00476100">
            <w:pPr>
              <w:rPr>
                <w:rFonts w:ascii="Arial" w:eastAsia="Arial" w:hAnsi="Arial" w:cs="Arial"/>
                <w:color w:val="auto"/>
                <w:sz w:val="22"/>
              </w:rPr>
            </w:pPr>
          </w:p>
        </w:tc>
      </w:tr>
      <w:tr w:rsidR="006F1898" w14:paraId="47D62747"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58301659" w14:textId="77777777" w:rsidR="007E13F4" w:rsidRPr="00BB7B33" w:rsidRDefault="007E13F4" w:rsidP="00A56AED">
            <w:pPr>
              <w:pStyle w:val="Heading2"/>
              <w:rPr>
                <w:rFonts w:eastAsia="MS Gothic"/>
              </w:rPr>
            </w:pPr>
            <w:r w:rsidRPr="00BB7B33">
              <w:rPr>
                <w:rFonts w:eastAsia="MS Gothic"/>
              </w:rPr>
              <w:t>Financial performance</w:t>
            </w:r>
          </w:p>
        </w:tc>
      </w:tr>
      <w:tr w:rsidR="006F1898" w14:paraId="0045AFE2"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7DADAB8D" w14:textId="77777777" w:rsidR="007E13F4" w:rsidRPr="00BB7B33" w:rsidRDefault="007E13F4" w:rsidP="00476100">
            <w:pPr>
              <w:rPr>
                <w:rFonts w:ascii="Arial" w:eastAsia="Arial" w:hAnsi="Arial" w:cs="Arial"/>
                <w:color w:val="auto"/>
                <w:sz w:val="22"/>
                <w:szCs w:val="22"/>
              </w:rPr>
            </w:pPr>
            <w:r w:rsidRPr="00BB7B33">
              <w:rPr>
                <w:rFonts w:ascii="Arial" w:eastAsia="Arial" w:hAnsi="Arial" w:cs="Arial"/>
                <w:color w:val="auto"/>
                <w:sz w:val="22"/>
              </w:rPr>
              <w:t>Carnegie Primary School maintained a sound financial position in 2025. Sound financial management ensured the school expenditure was closely aligned to the school’s goals and priorities. Budgets and financial reports were prepared and monitored by the Business Manager with the Finance Sub Committee and School Council reviewing, as necessary. Revenue received through government grants was supplemented by a high percentage of parents paying voluntary school contributions. Our Parents and Friends fundraising e</w:t>
            </w:r>
            <w:r w:rsidRPr="00BB7B33">
              <w:rPr>
                <w:rFonts w:ascii="Arial" w:eastAsia="Arial" w:hAnsi="Arial" w:cs="Arial"/>
                <w:color w:val="auto"/>
                <w:sz w:val="22"/>
              </w:rPr>
              <w:t>fforts raised just over $67,000 putting those funds back into school projects like the bike shed shelter $23,000.00, landscaping, and half basketball court resurfacing. Hiring of facilities includes money from our OSHC provider $135,758.00 and McKinnon Basketball Club $21,800.00.</w:t>
            </w:r>
          </w:p>
          <w:p w14:paraId="0A9B3B7C" w14:textId="77777777" w:rsidR="007E13F4" w:rsidRPr="00BB7B33" w:rsidRDefault="007E13F4" w:rsidP="00476100">
            <w:pPr>
              <w:rPr>
                <w:rFonts w:ascii="Arial" w:eastAsia="Arial" w:hAnsi="Arial" w:cs="Arial"/>
                <w:color w:val="auto"/>
                <w:sz w:val="22"/>
              </w:rPr>
            </w:pPr>
          </w:p>
        </w:tc>
      </w:tr>
      <w:tr w:rsidR="006F1898" w14:paraId="07E7C8A8" w14:textId="77777777" w:rsidTr="006F1898">
        <w:tc>
          <w:tcPr>
            <w:cnfStyle w:val="001000000000" w:firstRow="0" w:lastRow="0" w:firstColumn="1" w:lastColumn="0" w:oddVBand="0" w:evenVBand="0" w:oddHBand="0" w:evenHBand="0" w:firstRowFirstColumn="0" w:firstRowLastColumn="0" w:lastRowFirstColumn="0" w:lastRowLastColumn="0"/>
            <w:tcW w:w="9781" w:type="dxa"/>
          </w:tcPr>
          <w:p w14:paraId="0C792E8C" w14:textId="77777777" w:rsidR="007E13F4" w:rsidRPr="00BB7B33" w:rsidRDefault="007E13F4" w:rsidP="00476100"/>
          <w:p w14:paraId="1FFB623E" w14:textId="77777777" w:rsidR="006F1898" w:rsidRDefault="007E13F4">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www.carnegie.ps.vic.edu.au</w:t>
              </w:r>
            </w:hyperlink>
          </w:p>
          <w:p w14:paraId="09F49AEA" w14:textId="77777777" w:rsidR="006F1898" w:rsidRDefault="006F1898">
            <w:pPr>
              <w:rPr>
                <w:rFonts w:ascii="Arial" w:eastAsia="Arial" w:hAnsi="Arial" w:cs="Arial"/>
                <w:sz w:val="22"/>
              </w:rPr>
            </w:pPr>
          </w:p>
        </w:tc>
      </w:tr>
    </w:tbl>
    <w:p w14:paraId="6209955B" w14:textId="77777777" w:rsidR="007E13F4" w:rsidRDefault="007E13F4" w:rsidP="004827CE">
      <w:pPr>
        <w:spacing w:before="0" w:after="0" w:line="240" w:lineRule="auto"/>
      </w:pPr>
    </w:p>
    <w:p w14:paraId="24B3AEB9" w14:textId="77777777" w:rsidR="007E13F4" w:rsidRDefault="007E13F4">
      <w:pPr>
        <w:spacing w:before="0" w:after="0" w:line="240" w:lineRule="auto"/>
      </w:pPr>
      <w:r>
        <w:br w:type="page"/>
      </w:r>
    </w:p>
    <w:p w14:paraId="1C42A528" w14:textId="77777777" w:rsidR="007E13F4" w:rsidRDefault="007E13F4" w:rsidP="004827CE">
      <w:pPr>
        <w:spacing w:before="0" w:after="0" w:line="240" w:lineRule="auto"/>
        <w:sectPr w:rsidR="00147B2E" w:rsidSect="0024636E">
          <w:pgSz w:w="11900" w:h="16840"/>
          <w:pgMar w:top="1882" w:right="567" w:bottom="1701" w:left="567" w:header="227" w:footer="0" w:gutter="0"/>
          <w:cols w:space="708"/>
          <w:docGrid w:linePitch="360"/>
        </w:sectPr>
      </w:pPr>
    </w:p>
    <w:p w14:paraId="43C6C0FA" w14:textId="77777777" w:rsidR="006F1898" w:rsidRDefault="007E13F4">
      <w:pPr>
        <w:pStyle w:val="Heading11"/>
      </w:pPr>
      <w:bookmarkStart w:id="9" w:name="performance-summary"/>
      <w:bookmarkEnd w:id="2"/>
      <w:bookmarkEnd w:id="8"/>
      <w:r>
        <w:t>PERFORMANCE SUMMARY</w:t>
      </w:r>
    </w:p>
    <w:p w14:paraId="3AE621AB" w14:textId="77777777" w:rsidR="006F1898" w:rsidRDefault="007E13F4">
      <w:r>
        <w:t>The Performance Summary for government schools provides an overview of how this school is contributing to the objectives of the Education State and how it compares to other Victorian government schools.</w:t>
      </w:r>
    </w:p>
    <w:p w14:paraId="29A677B6" w14:textId="77777777" w:rsidR="006F1898" w:rsidRDefault="007E13F4">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724B4BBE" w14:textId="77777777" w:rsidR="006F1898" w:rsidRDefault="007E13F4">
      <w:r>
        <w:t>Refer to the ‘How to read the Annual Report’ section for help on how to interpret this report.</w:t>
      </w:r>
    </w:p>
    <w:p w14:paraId="4DA5B4EE" w14:textId="77777777" w:rsidR="006F1898" w:rsidRDefault="007E13F4">
      <w:pPr>
        <w:pStyle w:val="Heading21"/>
      </w:pPr>
      <w:bookmarkStart w:id="10" w:name="school-profile"/>
      <w:r>
        <w:t>SCHOOL PROFILE</w:t>
      </w:r>
    </w:p>
    <w:p w14:paraId="691AE081" w14:textId="77777777" w:rsidR="006F1898" w:rsidRDefault="007E13F4">
      <w:pPr>
        <w:pStyle w:val="Heading31"/>
      </w:pPr>
      <w:bookmarkStart w:id="11" w:name="enrolment-profile"/>
      <w:r>
        <w:t>Enrolment Profile</w:t>
      </w:r>
    </w:p>
    <w:p w14:paraId="4723B118" w14:textId="77777777" w:rsidR="006F1898" w:rsidRDefault="007E13F4">
      <w:r>
        <w:t xml:space="preserve">A total of 571 students were enrolled at this school in 2025, 275 female and 296 male. 29% had English as an additional language and NDP were Aboriginal or Torres Strait Islander. </w:t>
      </w:r>
    </w:p>
    <w:p w14:paraId="3F4DC5B4" w14:textId="77777777" w:rsidR="006F1898" w:rsidRDefault="007E13F4">
      <w:pPr>
        <w:pStyle w:val="Heading31"/>
      </w:pPr>
      <w:bookmarkStart w:id="12" w:name="overall-socio-economic-profile"/>
      <w:bookmarkEnd w:id="11"/>
      <w:r>
        <w:t>Overall Socio-Economic Profile</w:t>
      </w:r>
    </w:p>
    <w:p w14:paraId="25A65805" w14:textId="77777777" w:rsidR="006F1898" w:rsidRDefault="007E13F4">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Low</w:t>
      </w:r>
      <w:r>
        <w:t>.</w:t>
      </w:r>
    </w:p>
    <w:p w14:paraId="798B722F" w14:textId="77777777" w:rsidR="006F1898" w:rsidRDefault="007E13F4">
      <w:pPr>
        <w:pStyle w:val="Heading31"/>
      </w:pPr>
      <w:bookmarkStart w:id="13" w:name="parent-satisfaction-summary"/>
      <w:bookmarkEnd w:id="12"/>
      <w:r>
        <w:t>Parent Satisfaction Summary</w:t>
      </w:r>
    </w:p>
    <w:p w14:paraId="75A86204" w14:textId="77777777" w:rsidR="006F1898" w:rsidRDefault="007E13F4">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6F1898" w14:paraId="1F977FB9"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7C537DA"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3FC7E89"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88F2D87"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7D27321"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F1898" w14:paraId="6EBDEE20"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20BA1AB"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345DF35"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A90D60A"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16FF2AE"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63EB695" wp14:editId="0EEF4FDE">
                  <wp:extent cx="731520" cy="182880"/>
                  <wp:effectExtent l="0" t="0" r="0" b="0"/>
                  <wp:docPr id="1467165338" name="Picture 146716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6F1898" w14:paraId="69D53ECB"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076537A4"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114455A"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1B55F12"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60CF30D"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DD7B40B" wp14:editId="2722CCE9">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6F1898" w14:paraId="5C599E55"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4D6E25D"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2B6E3DA"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D4FE269"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CADA32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D1BC1FC" wp14:editId="2CEDDB5B">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751C0A80" w14:textId="77777777" w:rsidR="006F1898" w:rsidRDefault="007E13F4">
      <w:pPr>
        <w:pStyle w:val="Heading31"/>
      </w:pPr>
      <w:bookmarkStart w:id="14" w:name="school-staff-survey"/>
      <w:bookmarkEnd w:id="13"/>
      <w:r>
        <w:t>School Staff Survey</w:t>
      </w:r>
    </w:p>
    <w:p w14:paraId="4FCBD8B8" w14:textId="77777777" w:rsidR="006F1898" w:rsidRDefault="007E13F4">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6F1898" w14:paraId="48A8015F"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A45ED60"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7B0503E"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2034898"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304C28A"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F1898" w14:paraId="3DAAF72A"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0498029"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EC69F40"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4D84BEB"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75.4%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8E53EE6"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C0500CF" wp14:editId="26FCDB5E">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6F1898" w14:paraId="5FB859D6"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2D8D887"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3F79DD1"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D6E2E8C"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80.1%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6FC7F9C"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D787AA4" wp14:editId="2205C916">
                  <wp:extent cx="731520" cy="182880"/>
                  <wp:effectExtent l="0" t="0" r="0" b="0"/>
                  <wp:docPr id="1719157243" name="Picture 1719157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6F1898" w14:paraId="562DECDE"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E5B6299"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2E26B1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330D39"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88F229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3000CDC" wp14:editId="43FA32C8">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3AE4D279" w14:textId="77777777" w:rsidR="006F1898" w:rsidRDefault="007E13F4">
      <w:pPr>
        <w:pStyle w:val="Heading21"/>
      </w:pPr>
      <w:bookmarkStart w:id="15" w:name="learning"/>
      <w:bookmarkEnd w:id="10"/>
      <w:bookmarkEnd w:id="14"/>
      <w:r>
        <w:t>LEARNING</w:t>
      </w:r>
    </w:p>
    <w:p w14:paraId="776B2CEB" w14:textId="77777777" w:rsidR="006F1898" w:rsidRDefault="007E13F4">
      <w:pPr>
        <w:pStyle w:val="Heading31"/>
      </w:pPr>
      <w:bookmarkStart w:id="16" w:name="Xd3002550eeab6e7db743681fe2e67981201cd7b"/>
      <w:r>
        <w:t>Teacher Judgement of student achievement against the Victorian Curriculum</w:t>
      </w:r>
    </w:p>
    <w:p w14:paraId="65A71FB7" w14:textId="77777777" w:rsidR="006F1898" w:rsidRDefault="007E13F4">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6F1898" w14:paraId="3F5714A0"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778A27F"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9FEB502"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B72E385"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18F3E56"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F1898" w14:paraId="2C047174"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ABF1E7D"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014526"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8C6B54C"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96.9%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A25ED11"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7AFAD8" wp14:editId="38F628A8">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6F1898" w14:paraId="13372DA5"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41814588"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555CCF"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0D621FA"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94.5%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1E2572C"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68275FE" wp14:editId="65F57D9E">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6F1898" w14:paraId="44C1F89B"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6DED3C1"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D6E7185"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105F66D"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CCB77DC"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5E10944" wp14:editId="752D3AA2">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6F1898" w14:paraId="2276ABDA"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06B294C"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A1C4465"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9788CDD"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95.7%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0C0E0A4"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32F5D3F" wp14:editId="2B193898">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6F1898" w14:paraId="1AF79EFB"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DAB8D7B"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95F85DE"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09F7BD9"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93.6%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15F2ABE"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9CD89E" wp14:editId="792EDE1E">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6F1898" w14:paraId="1F0659F9"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89AC280"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4246EA2"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B5174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4B54F1"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60C1200" wp14:editId="681B34A2">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bl>
    <w:p w14:paraId="51B676AE" w14:textId="77777777" w:rsidR="006F1898" w:rsidRDefault="007E13F4">
      <w:pPr>
        <w:pStyle w:val="Heading31"/>
      </w:pPr>
      <w:bookmarkStart w:id="17" w:name="naplan"/>
      <w:bookmarkEnd w:id="16"/>
      <w:r>
        <w:t>NAPLAN</w:t>
      </w:r>
    </w:p>
    <w:p w14:paraId="5FF3DE28" w14:textId="77777777" w:rsidR="006F1898" w:rsidRDefault="007E13F4">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F1898" w14:paraId="130E93A5"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299E826B"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0FE0D33"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D4D3E8F"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765D668"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8DF2155"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6F1898" w14:paraId="32117ED3"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142EBA5"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F56F673"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6398DFD"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85.2%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90918A0"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6BF1240" wp14:editId="1B2C1491">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0D027364"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85.3%</w:t>
            </w:r>
          </w:p>
        </w:tc>
      </w:tr>
      <w:tr w:rsidR="006F1898" w14:paraId="12C152E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43B20AB"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B612CEB"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A050351"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5D335C"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51DC723" wp14:editId="626D2FA0">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B8830B4"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85.8%</w:t>
            </w:r>
          </w:p>
        </w:tc>
      </w:tr>
      <w:tr w:rsidR="006F1898" w14:paraId="74EA6949"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D95C514"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5B65859"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F681E22"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858C2FD"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1C909E2" wp14:editId="688CE722">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03D2612" w14:textId="77777777" w:rsidR="006F1898" w:rsidRDefault="007E13F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6F1898" w14:paraId="051867A4"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FD61353"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2B03018"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C31D380"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E8B939E"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08C00DC" wp14:editId="1609B4EB">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1BAADE21"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89.0%</w:t>
            </w:r>
          </w:p>
        </w:tc>
      </w:tr>
      <w:tr w:rsidR="006F1898" w14:paraId="37D050F1"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44CB547"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DD32F32"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9C6792B"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89.2%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231E98"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D6E494F" wp14:editId="5AFF0193">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4597AFF"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89.6%</w:t>
            </w:r>
          </w:p>
        </w:tc>
      </w:tr>
      <w:tr w:rsidR="006F1898" w14:paraId="4F9A220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DBE1241"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FCF2640"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FB288A"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64EEDF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3EC4A7F" wp14:editId="1AF29D17">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D0B8FD8" w14:textId="77777777" w:rsidR="006F1898" w:rsidRDefault="007E13F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6F1898" w14:paraId="0B0F5FD0"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717D768"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8AF9676"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32BF301"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84.1%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8162170"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881429C" wp14:editId="41E550E9">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40DA8BE"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85.1%</w:t>
            </w:r>
          </w:p>
        </w:tc>
      </w:tr>
      <w:tr w:rsidR="006F1898" w14:paraId="46510206"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7DB596B"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5025A2D"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64A574D"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85.6%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D03EE7B"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55DC640" wp14:editId="498B434A">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AE09F6D"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85.5%</w:t>
            </w:r>
          </w:p>
        </w:tc>
      </w:tr>
      <w:tr w:rsidR="006F1898" w14:paraId="3A6E821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2CC76989"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9287FF0"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C10BD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5F0992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EA15701" wp14:editId="0E93BB80">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A30BA78" w14:textId="77777777" w:rsidR="006F1898" w:rsidRDefault="007E13F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6F1898" w14:paraId="3691CBFB"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C823108"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99FD6F9"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406EAD8"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89.6%</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6C38E3"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48CD3F9" wp14:editId="39ACD352">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ACF1CD4"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87.5%</w:t>
            </w:r>
          </w:p>
        </w:tc>
      </w:tr>
      <w:tr w:rsidR="006F1898" w14:paraId="12E5C9B2"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24B234B"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795B62E"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57AFCEB"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89.8%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45A708"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633BECA" wp14:editId="7A2B2897">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D258180"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88.5%</w:t>
            </w:r>
          </w:p>
        </w:tc>
      </w:tr>
      <w:tr w:rsidR="006F1898" w14:paraId="5FE724D2"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4775C00"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211378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98C137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DD41C9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4C1278F" wp14:editId="611778C8">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D58BA12" w14:textId="77777777" w:rsidR="006F1898" w:rsidRDefault="007E13F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417C75CA" w14:textId="77777777" w:rsidR="006F1898" w:rsidRDefault="007E13F4">
      <w:pPr>
        <w:pStyle w:val="Heading31"/>
      </w:pPr>
      <w:bookmarkStart w:id="18" w:name="naplan-relative-growth"/>
      <w:bookmarkEnd w:id="17"/>
      <w:r>
        <w:t>NAPLAN relative growth</w:t>
      </w:r>
    </w:p>
    <w:p w14:paraId="5EBF96A1" w14:textId="77777777" w:rsidR="006F1898" w:rsidRDefault="007E13F4">
      <w:r>
        <w:t>The percentage of students in the High and Medium relative growth categories.</w:t>
      </w:r>
    </w:p>
    <w:p w14:paraId="77028CEE" w14:textId="77777777" w:rsidR="006F1898" w:rsidRDefault="007E13F4">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37E57CA0" w14:textId="77777777" w:rsidR="006F1898" w:rsidRDefault="007E13F4">
      <w:r>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6F1898" w14:paraId="7E644A4A"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9EACAD5"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F743CDF"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9501BA3"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1413A3F"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F1898" w14:paraId="42861A37"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882FD0E"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432EBD0"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08D495B"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80.8%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743E3C7"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C8176B5" wp14:editId="6DB3E6BA">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6F1898" w14:paraId="50EA599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DA8906A"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6B90395"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2CB3322"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8758E8B"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9A759C5" wp14:editId="142B9922">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6F1898" w14:paraId="70F3716B"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97CC443"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2820B3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F524C1"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8FEFE9"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79E7A87" wp14:editId="45CF6A54">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r w:rsidR="006F1898" w14:paraId="2017DE8E"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653036B"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9B6E8EC"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912A9C1"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76.1%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C07536A"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2EF7D3" wp14:editId="41E6354A">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r>
      <w:tr w:rsidR="006F1898" w14:paraId="245C1064"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4EC1A748"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63B49BF"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B89275C"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7B7E1BE"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7973758" wp14:editId="3F32EE2E">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r>
      <w:tr w:rsidR="006F1898" w14:paraId="023EC51A"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AED820C"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4A30FA2"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E9B6455"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A6510B5"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FE831EE" wp14:editId="29D03B6C">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bl>
    <w:p w14:paraId="3D1C25A7" w14:textId="77777777" w:rsidR="006F1898" w:rsidRDefault="007E13F4">
      <w:r>
        <w:br w:type="page"/>
      </w:r>
    </w:p>
    <w:p w14:paraId="7BDD3BC7" w14:textId="77777777" w:rsidR="006F1898" w:rsidRDefault="007E13F4">
      <w:pPr>
        <w:pStyle w:val="Heading21"/>
      </w:pPr>
      <w:bookmarkStart w:id="19" w:name="wellbeing"/>
      <w:bookmarkEnd w:id="15"/>
      <w:bookmarkEnd w:id="18"/>
      <w:r>
        <w:t>WELLBEING</w:t>
      </w:r>
    </w:p>
    <w:p w14:paraId="714B3667" w14:textId="77777777" w:rsidR="006F1898" w:rsidRDefault="007E13F4">
      <w:pPr>
        <w:pStyle w:val="Heading31"/>
      </w:pPr>
      <w:bookmarkStart w:id="20" w:name="X4f312c496442aa9386762e79446d80aa9d20262"/>
      <w:r>
        <w:t>Student Attitudes to School – Sense of Connectedness</w:t>
      </w:r>
    </w:p>
    <w:p w14:paraId="6D730A05" w14:textId="77777777" w:rsidR="006F1898" w:rsidRDefault="007E13F4">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F1898" w14:paraId="5D2AEFD6"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715464B7"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DA8A6E8"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A17F7CF"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48A9EC2"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4F95B28"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6F1898" w14:paraId="5D84A1FA"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33FCA92"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14B171C"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C25F5E"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78.9%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3D17CF3"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4846E69" wp14:editId="578C7342">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76B37461"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80.7%</w:t>
            </w:r>
          </w:p>
        </w:tc>
      </w:tr>
      <w:tr w:rsidR="006F1898" w14:paraId="3217C039"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446CDA9"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B4C9E10"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558CB90"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A8647F9"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22E7EE5" wp14:editId="0CC701D1">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3C84149E"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80.8%</w:t>
            </w:r>
          </w:p>
        </w:tc>
      </w:tr>
      <w:tr w:rsidR="006F1898" w14:paraId="6B0E1A7F"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43627D8"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CA35AD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E0CDFC"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84B1B4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99D749C" wp14:editId="388F5BAA">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4617D3B" w14:textId="77777777" w:rsidR="006F1898" w:rsidRDefault="007E13F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171B60B7" w14:textId="77777777" w:rsidR="006F1898" w:rsidRDefault="007E13F4">
      <w:pPr>
        <w:pStyle w:val="Heading31"/>
      </w:pPr>
      <w:bookmarkStart w:id="21" w:name="X6b86cdeac7af42d7b3a46c94b02d37acd34cd49"/>
      <w:bookmarkEnd w:id="20"/>
      <w:r>
        <w:t>Student Attitudes to School – Managing Bullying</w:t>
      </w:r>
    </w:p>
    <w:p w14:paraId="105A1996" w14:textId="77777777" w:rsidR="006F1898" w:rsidRDefault="007E13F4">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F1898" w14:paraId="0BE21C47"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6B943F72"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152DBD8"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2C8C8CE"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BCC70C8"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D0FA2B6"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6F1898" w14:paraId="03D04A91"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C638284"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0930109"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29B6C24"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69.6%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F9091EB"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EBC5E2C" wp14:editId="4B75C0E2">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783AD37D"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74.6%</w:t>
            </w:r>
          </w:p>
        </w:tc>
      </w:tr>
      <w:tr w:rsidR="006F1898" w14:paraId="6EA4CDCF"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8C93C5E"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B1DDBFC"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38D135D"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62C8ED5"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F758486" wp14:editId="5A6A147F">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6705620"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77.9%</w:t>
            </w:r>
          </w:p>
        </w:tc>
      </w:tr>
      <w:tr w:rsidR="006F1898" w14:paraId="07C4D99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3786347"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C8575FA"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70BFA3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18A2C1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2A123E1" wp14:editId="6AEA3D1C">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CCAB669" w14:textId="77777777" w:rsidR="006F1898" w:rsidRDefault="007E13F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25DC9B60" w14:textId="77777777" w:rsidR="006F1898" w:rsidRDefault="007E13F4">
      <w:r>
        <w:br w:type="page"/>
      </w:r>
    </w:p>
    <w:p w14:paraId="1B416EB8" w14:textId="77777777" w:rsidR="006F1898" w:rsidRDefault="007E13F4">
      <w:pPr>
        <w:pStyle w:val="Heading21"/>
      </w:pPr>
      <w:bookmarkStart w:id="22" w:name="engagement"/>
      <w:bookmarkEnd w:id="19"/>
      <w:bookmarkEnd w:id="21"/>
      <w:r>
        <w:t>ENGAGEMENT</w:t>
      </w:r>
    </w:p>
    <w:p w14:paraId="38414F34" w14:textId="77777777" w:rsidR="006F1898" w:rsidRDefault="007E13F4">
      <w:pPr>
        <w:pStyle w:val="Heading31"/>
      </w:pPr>
      <w:bookmarkStart w:id="23" w:name="average-absence-days-per-student"/>
      <w:r>
        <w:t>Average absence days per student</w:t>
      </w:r>
    </w:p>
    <w:p w14:paraId="3C8846DF" w14:textId="77777777" w:rsidR="006F1898" w:rsidRDefault="007E13F4">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F1898" w14:paraId="4755A6D4"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5313AFB4"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5486C4D"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66F8CA2"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072E157"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23BB32E"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6F1898" w14:paraId="259D69F9"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BEDF8EC"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373416A" w14:textId="77777777" w:rsidR="006F1898" w:rsidRDefault="007E13F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7A14484"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0CE60F5"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7375B3A" wp14:editId="61B383E1">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786A6B25"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17.7</w:t>
            </w:r>
          </w:p>
        </w:tc>
      </w:tr>
      <w:tr w:rsidR="006F1898" w14:paraId="4DEC908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2F72EEE" w14:textId="77777777" w:rsidR="006F1898" w:rsidRDefault="006F189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FD02025" w14:textId="77777777" w:rsidR="006F1898" w:rsidRDefault="007E13F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E6E3AC7"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5D1D091"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ED73757" wp14:editId="6172CDF5">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D3B1049" w14:textId="77777777" w:rsidR="006F1898" w:rsidRDefault="007E13F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18.0</w:t>
            </w:r>
          </w:p>
        </w:tc>
      </w:tr>
      <w:tr w:rsidR="006F1898" w14:paraId="0B868700"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771FE0A" w14:textId="77777777" w:rsidR="006F1898" w:rsidRDefault="006F189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B2B7B6F"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E2B14D7"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5CB2278"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C54298B" wp14:editId="13CA5E70">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CF62F6E" w14:textId="77777777" w:rsidR="006F1898" w:rsidRDefault="007E13F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42F5BE2D" w14:textId="77777777" w:rsidR="006F1898" w:rsidRDefault="007E13F4">
      <w:pPr>
        <w:pStyle w:val="Heading31"/>
      </w:pPr>
      <w:bookmarkStart w:id="24" w:name="attendance-rate"/>
      <w:bookmarkEnd w:id="23"/>
      <w:r>
        <w:t>Attendance rate</w:t>
      </w:r>
    </w:p>
    <w:p w14:paraId="688DA082" w14:textId="77777777" w:rsidR="006F1898" w:rsidRDefault="007E13F4">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6F1898" w14:paraId="21A4C18B"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C53851A"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B26032C"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C5488D4" w14:textId="77777777" w:rsidR="006F1898" w:rsidRDefault="007E13F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211D854" w14:textId="77777777" w:rsidR="006F1898" w:rsidRDefault="006F189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F1898" w14:paraId="2798922D"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8A1BFB9"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044E7F7"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E839458"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92.7%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8DED4DA"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595B738" wp14:editId="6BA2B296">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6F1898" w14:paraId="780F67E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32CA02A"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09409B"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800298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945711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BAA1D20" wp14:editId="282C3F8D">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6F1898" w14:paraId="3F19516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212C558"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5297725"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2CC866F"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89.7%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B4E1F7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48EBF6B" wp14:editId="33523261">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r>
      <w:tr w:rsidR="006F1898" w14:paraId="17F1F043"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955837C"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0A2116C"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4835339"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D1C7645"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3638A27" wp14:editId="4CB7EEFB">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6F1898" w14:paraId="29B53D0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379B00D9"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07C5BC0"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DD8A33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92.1%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F9BC3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757F3EA" wp14:editId="143544F5">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6F1898" w14:paraId="03C86C7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8F3FDBB"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359B8E4"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416C10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7F7AD8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AA32286" wp14:editId="3F705F5F">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r>
      <w:tr w:rsidR="006F1898" w14:paraId="14D0CBD0"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3AF6881F"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D0D425"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C6762D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5478BF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507A08B" wp14:editId="20A6D6F4">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bl>
    <w:p w14:paraId="29279892" w14:textId="77777777" w:rsidR="006F1898" w:rsidRDefault="007E13F4">
      <w:r>
        <w:br w:type="page"/>
      </w:r>
    </w:p>
    <w:p w14:paraId="6F14E0BE" w14:textId="77777777" w:rsidR="006F1898" w:rsidRDefault="007E13F4">
      <w:pPr>
        <w:pStyle w:val="Heading11"/>
      </w:pPr>
      <w:bookmarkStart w:id="25" w:name="financial-performance-and-position"/>
      <w:bookmarkEnd w:id="9"/>
      <w:bookmarkEnd w:id="22"/>
      <w:bookmarkEnd w:id="24"/>
      <w:r>
        <w:t>FINANCIAL PERFORMANCE AND POSITION</w:t>
      </w:r>
    </w:p>
    <w:p w14:paraId="0EFED2B6" w14:textId="77777777" w:rsidR="006F1898" w:rsidRDefault="007E13F4">
      <w:pPr>
        <w:pStyle w:val="Heading21"/>
      </w:pPr>
      <w:bookmarkStart w:id="26" w:name="X783dfaa01abb5b9bede6e86f0b21a1e5c51f7c7"/>
      <w:r>
        <w:t>FINANCIAL PERFORMANCE - OPERATING STATEMENT SUMMARY FOR THE YEAR ENDING 31 DECEMBER 2025</w:t>
      </w:r>
    </w:p>
    <w:p w14:paraId="60E642FE" w14:textId="77777777" w:rsidR="006F1898" w:rsidRDefault="007E13F4">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6F1898" w14:paraId="5B60CC05"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CA4F0EC"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5EBB8817"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F1898" w14:paraId="21D9710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7FCAB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907B5C"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$5,676,191</w:t>
            </w:r>
          </w:p>
        </w:tc>
      </w:tr>
      <w:tr w:rsidR="006F1898" w14:paraId="046DF24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D310DC"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3A9B8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$806,357</w:t>
            </w:r>
          </w:p>
        </w:tc>
      </w:tr>
      <w:tr w:rsidR="006F1898" w14:paraId="4802004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F3310F"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ADBB9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$6,609</w:t>
            </w:r>
          </w:p>
        </w:tc>
      </w:tr>
      <w:tr w:rsidR="006F1898" w14:paraId="76158EC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D1394D"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8FF777"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$25,500</w:t>
            </w:r>
          </w:p>
        </w:tc>
      </w:tr>
      <w:tr w:rsidR="006F1898" w14:paraId="745DE14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1386D8"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28CD6E"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$40,442</w:t>
            </w:r>
          </w:p>
        </w:tc>
      </w:tr>
      <w:tr w:rsidR="006F1898" w14:paraId="7FBA835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99605A"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122FA5"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$756,386</w:t>
            </w:r>
          </w:p>
        </w:tc>
      </w:tr>
      <w:tr w:rsidR="006F1898" w14:paraId="65F96D7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4D7580"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A181B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6FC1A01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CE96C56"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1EDED9F"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$7,311,484</w:t>
            </w:r>
          </w:p>
        </w:tc>
      </w:tr>
    </w:tbl>
    <w:p w14:paraId="72275617" w14:textId="77777777" w:rsidR="006F1898" w:rsidRDefault="007E13F4">
      <w:r>
        <w:t> </w:t>
      </w:r>
    </w:p>
    <w:tbl>
      <w:tblPr>
        <w:tblW w:w="0" w:type="auto"/>
        <w:jc w:val="center"/>
        <w:tblLayout w:type="fixed"/>
        <w:tblLook w:val="0420" w:firstRow="1" w:lastRow="0" w:firstColumn="0" w:lastColumn="0" w:noHBand="0" w:noVBand="1"/>
      </w:tblPr>
      <w:tblGrid>
        <w:gridCol w:w="7632"/>
        <w:gridCol w:w="2592"/>
      </w:tblGrid>
      <w:tr w:rsidR="006F1898" w14:paraId="15C1DCA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A1E91FC"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1D3647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F1898" w14:paraId="1946A2E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39FD8E"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C10E19"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$12,701</w:t>
            </w:r>
          </w:p>
        </w:tc>
      </w:tr>
      <w:tr w:rsidR="006F1898" w14:paraId="3A08E5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E57A19"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89F1A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157DC49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63765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BF647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13B30E4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4EB5E13"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484BF7E"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$12,701</w:t>
            </w:r>
          </w:p>
        </w:tc>
      </w:tr>
      <w:tr w:rsidR="006F1898" w14:paraId="0B3E52FB"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57379AE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71023076" w14:textId="77777777" w:rsidR="006F1898" w:rsidRDefault="007E13F4">
      <w:r>
        <w:t> </w:t>
      </w:r>
    </w:p>
    <w:tbl>
      <w:tblPr>
        <w:tblW w:w="0" w:type="auto"/>
        <w:jc w:val="center"/>
        <w:tblLayout w:type="fixed"/>
        <w:tblLook w:val="0420" w:firstRow="1" w:lastRow="0" w:firstColumn="0" w:lastColumn="0" w:noHBand="0" w:noVBand="1"/>
      </w:tblPr>
      <w:tblGrid>
        <w:gridCol w:w="7632"/>
        <w:gridCol w:w="2592"/>
      </w:tblGrid>
      <w:tr w:rsidR="006F1898" w14:paraId="5518D3DA"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C0A116E"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94B9ED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F1898" w14:paraId="6301874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842BD0"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91875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$5,573,176</w:t>
            </w:r>
          </w:p>
        </w:tc>
      </w:tr>
      <w:tr w:rsidR="006F1898" w14:paraId="69FA8C9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AF2F2B"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B15AEF"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05A2C69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F164BC"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B26A4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$1,959</w:t>
            </w:r>
          </w:p>
        </w:tc>
      </w:tr>
      <w:tr w:rsidR="006F1898" w14:paraId="0928DA9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A917D9"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04B1E2"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$205,585</w:t>
            </w:r>
          </w:p>
        </w:tc>
      </w:tr>
      <w:tr w:rsidR="006F1898" w14:paraId="2A7EB61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574C4A"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16BDDD"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$8,631</w:t>
            </w:r>
          </w:p>
        </w:tc>
      </w:tr>
      <w:tr w:rsidR="006F1898" w14:paraId="015F1A0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1CF61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198063"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$154,834</w:t>
            </w:r>
          </w:p>
        </w:tc>
      </w:tr>
      <w:tr w:rsidR="006F1898" w14:paraId="096CFB1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754924"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83CD7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$37,322</w:t>
            </w:r>
          </w:p>
        </w:tc>
      </w:tr>
      <w:tr w:rsidR="006F1898" w14:paraId="3301957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E933B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71BA3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5F28CF7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CED23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634A5E"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$48,399</w:t>
            </w:r>
          </w:p>
        </w:tc>
      </w:tr>
      <w:tr w:rsidR="006F1898" w14:paraId="156B56A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AAECFB"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52253D"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$145,989</w:t>
            </w:r>
          </w:p>
        </w:tc>
      </w:tr>
      <w:tr w:rsidR="006F1898" w14:paraId="7D1C94B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E7EEB4"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BD4568"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$284,838</w:t>
            </w:r>
          </w:p>
        </w:tc>
      </w:tr>
      <w:tr w:rsidR="006F1898" w14:paraId="772EACC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8182C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82C79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$253,491</w:t>
            </w:r>
          </w:p>
        </w:tc>
      </w:tr>
      <w:tr w:rsidR="006F1898" w14:paraId="79B57FC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A7942D"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EC779C"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$157,330</w:t>
            </w:r>
          </w:p>
        </w:tc>
      </w:tr>
      <w:tr w:rsidR="006F1898" w14:paraId="3D59AAC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F3C28B"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7B32D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$64,218</w:t>
            </w:r>
          </w:p>
        </w:tc>
      </w:tr>
      <w:tr w:rsidR="006F1898" w14:paraId="53D09E9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FA9F1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B611A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2F0F97B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600B8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A6EE4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4F9524F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3B5E3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99E939"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$48,498</w:t>
            </w:r>
          </w:p>
        </w:tc>
      </w:tr>
      <w:tr w:rsidR="006F1898" w14:paraId="6750DF7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7B82246"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5E07ABA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$6,984,270</w:t>
            </w:r>
          </w:p>
        </w:tc>
      </w:tr>
      <w:tr w:rsidR="006F1898" w14:paraId="4EEFB25B"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498A740"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F551ABE"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$327,215</w:t>
            </w:r>
          </w:p>
        </w:tc>
      </w:tr>
      <w:tr w:rsidR="006F1898" w14:paraId="222E59D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C9A23E6"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0601C67"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w:t>
            </w:r>
          </w:p>
        </w:tc>
      </w:tr>
      <w:tr w:rsidR="006F1898" w14:paraId="1672F3B7"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73925FB"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6F1898" w14:paraId="38BBAE87"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52FC6BAD"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6F1898" w14:paraId="4D416329"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1323535A"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6085EFF6" w14:textId="77777777" w:rsidR="006F1898" w:rsidRDefault="007E13F4">
      <w:r>
        <w:t> </w:t>
      </w:r>
    </w:p>
    <w:p w14:paraId="0D53A8EE" w14:textId="77777777" w:rsidR="006F1898" w:rsidRDefault="007E13F4">
      <w:r>
        <w:br w:type="page"/>
      </w:r>
    </w:p>
    <w:p w14:paraId="5D846FE7" w14:textId="77777777" w:rsidR="006F1898" w:rsidRDefault="007E13F4">
      <w:pPr>
        <w:pStyle w:val="Heading21"/>
      </w:pPr>
      <w:bookmarkStart w:id="27" w:name="X27daf5a77578665f4d1993912609976214eb793"/>
      <w:bookmarkEnd w:id="26"/>
      <w:r>
        <w:t>FINANCIAL POSITION AS AT 31 DECEMBER 2025</w:t>
      </w:r>
    </w:p>
    <w:tbl>
      <w:tblPr>
        <w:tblW w:w="0" w:type="auto"/>
        <w:jc w:val="center"/>
        <w:tblLayout w:type="fixed"/>
        <w:tblLook w:val="0420" w:firstRow="1" w:lastRow="0" w:firstColumn="0" w:lastColumn="0" w:noHBand="0" w:noVBand="1"/>
      </w:tblPr>
      <w:tblGrid>
        <w:gridCol w:w="7632"/>
        <w:gridCol w:w="2592"/>
      </w:tblGrid>
      <w:tr w:rsidR="006F1898" w14:paraId="14DC644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CC5C8A9"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0AAFC9C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F1898" w14:paraId="080BD13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FEFBB6"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0B56C1"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$504,190</w:t>
            </w:r>
          </w:p>
        </w:tc>
      </w:tr>
      <w:tr w:rsidR="006F1898" w14:paraId="5E3DF26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6670DE"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04DA78"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$60,833</w:t>
            </w:r>
          </w:p>
        </w:tc>
      </w:tr>
      <w:tr w:rsidR="006F1898" w14:paraId="58EB0FC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88435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8C1AC0"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7CD006AE"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CC9A2A1"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E70EA0E"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$565,024</w:t>
            </w:r>
          </w:p>
        </w:tc>
      </w:tr>
    </w:tbl>
    <w:p w14:paraId="539D3B1E" w14:textId="77777777" w:rsidR="006F1898" w:rsidRDefault="007E13F4">
      <w:r>
        <w:t> </w:t>
      </w:r>
    </w:p>
    <w:tbl>
      <w:tblPr>
        <w:tblW w:w="0" w:type="auto"/>
        <w:jc w:val="center"/>
        <w:tblLayout w:type="fixed"/>
        <w:tblLook w:val="0420" w:firstRow="1" w:lastRow="0" w:firstColumn="0" w:lastColumn="0" w:noHBand="0" w:noVBand="1"/>
      </w:tblPr>
      <w:tblGrid>
        <w:gridCol w:w="7632"/>
        <w:gridCol w:w="2592"/>
      </w:tblGrid>
      <w:tr w:rsidR="006F1898" w14:paraId="0EF46B88"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1F1DC1E"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6964C28"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F1898" w14:paraId="74FDC18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CE0171"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1A3F5D"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$235,182</w:t>
            </w:r>
          </w:p>
        </w:tc>
      </w:tr>
      <w:tr w:rsidR="006F1898" w14:paraId="2E0CE32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F643B7"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909E12"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0E39265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73BF2A"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79803A"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4EF6245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806EFC"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2E86CB"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$53,480</w:t>
            </w:r>
          </w:p>
        </w:tc>
      </w:tr>
      <w:tr w:rsidR="006F1898" w14:paraId="1386F55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DDDF1F"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C59237"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5EB3548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7DD3C9"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3288B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2656604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BFAC65"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456C3D"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330D48F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B8C1BC"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ED34BE"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48DD30E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B62EBD"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2BC2CE"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2385DC1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A8EB9F"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642255"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$70,000</w:t>
            </w:r>
          </w:p>
        </w:tc>
      </w:tr>
      <w:tr w:rsidR="006F1898" w14:paraId="2888876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5A1814"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5AA569"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6FCA9FB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C08272"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59101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$123,223</w:t>
            </w:r>
          </w:p>
        </w:tc>
      </w:tr>
      <w:tr w:rsidR="006F1898" w14:paraId="624057A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5EF2A5"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8F8DD1"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0C897FF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6F7B81"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E1FBE6"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7CA0C45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FE3524" w14:textId="77777777" w:rsidR="006F1898" w:rsidRDefault="007E13F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4971D4"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F1898" w14:paraId="6B92010D"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E99B7F1" w14:textId="77777777" w:rsidR="006F1898" w:rsidRDefault="007E13F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A326D25" w14:textId="77777777" w:rsidR="006F1898" w:rsidRDefault="007E13F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$481,885</w:t>
            </w:r>
          </w:p>
        </w:tc>
      </w:tr>
    </w:tbl>
    <w:p w14:paraId="5B3F3D0B" w14:textId="77777777" w:rsidR="006F1898" w:rsidRDefault="007E13F4">
      <w:r>
        <w:t> </w:t>
      </w:r>
    </w:p>
    <w:p w14:paraId="2415A970" w14:textId="77777777" w:rsidR="006F1898" w:rsidRDefault="007E13F4">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6E11EA60" w14:textId="77777777" w:rsidR="006F1898" w:rsidRDefault="006F1898"/>
    <w:sectPr w:rsidR="006F1898">
      <w:footerReference w:type="default" r:id="rId54"/>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7C6A" w14:textId="77777777" w:rsidR="007E13F4" w:rsidRDefault="007E13F4">
      <w:pPr>
        <w:spacing w:before="0" w:after="0" w:line="240" w:lineRule="auto"/>
      </w:pPr>
      <w:r>
        <w:separator/>
      </w:r>
    </w:p>
  </w:endnote>
  <w:endnote w:type="continuationSeparator" w:id="0">
    <w:p w14:paraId="564724F4" w14:textId="77777777" w:rsidR="007E13F4" w:rsidRDefault="007E13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B5F" w14:textId="77777777" w:rsidR="007E13F4" w:rsidRDefault="007E13F4"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F4BE756" w14:textId="77777777" w:rsidR="007E13F4" w:rsidRDefault="007E13F4"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370EA82B" w14:textId="77777777" w:rsidR="007E13F4" w:rsidRDefault="007E13F4"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6E656CFD" wp14:editId="44130D63">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485650EA" w14:textId="77777777" w:rsidR="007E13F4" w:rsidRPr="003E29B5" w:rsidRDefault="007E13F4"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517D" w14:textId="77777777" w:rsidR="007E13F4" w:rsidRDefault="007E13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8984" w14:textId="37DBCCBE" w:rsidR="006F1898" w:rsidRDefault="007E13F4">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D535CE">
      <w:rPr>
        <w:rFonts w:ascii="Arial" w:eastAsia="Arial" w:hAnsi="Arial" w:cs="Arial"/>
        <w:noProof/>
        <w:color w:val="000000"/>
        <w:sz w:val="16"/>
        <w:szCs w:val="16"/>
      </w:rPr>
      <w:t>8</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Carnegie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4D2D" w14:textId="77777777" w:rsidR="007E13F4" w:rsidRDefault="007E13F4">
      <w:pPr>
        <w:spacing w:before="0" w:after="0" w:line="240" w:lineRule="auto"/>
      </w:pPr>
      <w:r>
        <w:separator/>
      </w:r>
    </w:p>
  </w:footnote>
  <w:footnote w:type="continuationSeparator" w:id="0">
    <w:p w14:paraId="1A4B91FF" w14:textId="77777777" w:rsidR="007E13F4" w:rsidRDefault="007E13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89D1" w14:textId="77777777" w:rsidR="007E13F4" w:rsidRDefault="007E13F4">
    <w:r>
      <w:rPr>
        <w:noProof/>
        <w:lang w:eastAsia="en-AU"/>
      </w:rPr>
      <mc:AlternateContent>
        <mc:Choice Requires="wps">
          <w:drawing>
            <wp:anchor distT="0" distB="0" distL="114300" distR="114300" simplePos="0" relativeHeight="251660288" behindDoc="0" locked="0" layoutInCell="1" allowOverlap="1" wp14:anchorId="7339BCDE" wp14:editId="090F89D0">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2FA4B8A" w14:textId="77777777" w:rsidR="007E13F4" w:rsidRDefault="007E13F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7339BCDE"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62FA4B8A" w14:textId="77777777" w:rsidR="007E13F4" w:rsidRDefault="007E13F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E376" w14:textId="77777777" w:rsidR="007E13F4" w:rsidRDefault="007E13F4" w:rsidP="000813BF">
    <w:pPr>
      <w:pStyle w:val="Header"/>
      <w:tabs>
        <w:tab w:val="clear" w:pos="4513"/>
        <w:tab w:val="clear" w:pos="9026"/>
      </w:tabs>
      <w:ind w:left="-562" w:right="259"/>
    </w:pPr>
    <w:r>
      <w:rPr>
        <w:noProof/>
      </w:rPr>
      <w:drawing>
        <wp:inline distT="0" distB="0" distL="0" distR="0" wp14:anchorId="3426991A" wp14:editId="47CC383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009456B1" wp14:editId="55CE823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223D" w14:textId="77777777" w:rsidR="007E13F4" w:rsidRDefault="007E13F4">
    <w:r>
      <w:rPr>
        <w:noProof/>
        <w:lang w:eastAsia="en-AU"/>
      </w:rPr>
      <mc:AlternateContent>
        <mc:Choice Requires="wps">
          <w:drawing>
            <wp:anchor distT="0" distB="0" distL="114300" distR="114300" simplePos="0" relativeHeight="251658240" behindDoc="0" locked="0" layoutInCell="1" allowOverlap="1" wp14:anchorId="29F562F6" wp14:editId="45E24298">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5C10AF4" w14:textId="77777777" w:rsidR="007E13F4" w:rsidRDefault="007E13F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29F562F6"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65C10AF4" w14:textId="77777777" w:rsidR="007E13F4" w:rsidRDefault="007E13F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1C42531C">
      <w:start w:val="1"/>
      <w:numFmt w:val="bullet"/>
      <w:pStyle w:val="Bullet2"/>
      <w:lvlText w:val="–"/>
      <w:lvlJc w:val="left"/>
      <w:pPr>
        <w:ind w:left="644" w:hanging="360"/>
      </w:pPr>
      <w:rPr>
        <w:rFonts w:ascii="Arial" w:hAnsi="Arial" w:hint="default"/>
        <w:b w:val="0"/>
        <w:i w:val="0"/>
      </w:rPr>
    </w:lvl>
    <w:lvl w:ilvl="1" w:tplc="C046BA84" w:tentative="1">
      <w:start w:val="1"/>
      <w:numFmt w:val="bullet"/>
      <w:lvlText w:val="o"/>
      <w:lvlJc w:val="left"/>
      <w:pPr>
        <w:ind w:left="1440" w:hanging="360"/>
      </w:pPr>
      <w:rPr>
        <w:rFonts w:ascii="Courier New" w:hAnsi="Courier New" w:cs="Courier New" w:hint="default"/>
      </w:rPr>
    </w:lvl>
    <w:lvl w:ilvl="2" w:tplc="E264BEE6" w:tentative="1">
      <w:start w:val="1"/>
      <w:numFmt w:val="bullet"/>
      <w:lvlText w:val=""/>
      <w:lvlJc w:val="left"/>
      <w:pPr>
        <w:ind w:left="2160" w:hanging="360"/>
      </w:pPr>
      <w:rPr>
        <w:rFonts w:ascii="Wingdings" w:hAnsi="Wingdings" w:hint="default"/>
      </w:rPr>
    </w:lvl>
    <w:lvl w:ilvl="3" w:tplc="0226C390" w:tentative="1">
      <w:start w:val="1"/>
      <w:numFmt w:val="bullet"/>
      <w:lvlText w:val=""/>
      <w:lvlJc w:val="left"/>
      <w:pPr>
        <w:ind w:left="2880" w:hanging="360"/>
      </w:pPr>
      <w:rPr>
        <w:rFonts w:ascii="Symbol" w:hAnsi="Symbol" w:hint="default"/>
      </w:rPr>
    </w:lvl>
    <w:lvl w:ilvl="4" w:tplc="DD4E9360" w:tentative="1">
      <w:start w:val="1"/>
      <w:numFmt w:val="bullet"/>
      <w:lvlText w:val="o"/>
      <w:lvlJc w:val="left"/>
      <w:pPr>
        <w:ind w:left="3600" w:hanging="360"/>
      </w:pPr>
      <w:rPr>
        <w:rFonts w:ascii="Courier New" w:hAnsi="Courier New" w:cs="Courier New" w:hint="default"/>
      </w:rPr>
    </w:lvl>
    <w:lvl w:ilvl="5" w:tplc="3418ED04" w:tentative="1">
      <w:start w:val="1"/>
      <w:numFmt w:val="bullet"/>
      <w:lvlText w:val=""/>
      <w:lvlJc w:val="left"/>
      <w:pPr>
        <w:ind w:left="4320" w:hanging="360"/>
      </w:pPr>
      <w:rPr>
        <w:rFonts w:ascii="Wingdings" w:hAnsi="Wingdings" w:hint="default"/>
      </w:rPr>
    </w:lvl>
    <w:lvl w:ilvl="6" w:tplc="30964174" w:tentative="1">
      <w:start w:val="1"/>
      <w:numFmt w:val="bullet"/>
      <w:lvlText w:val=""/>
      <w:lvlJc w:val="left"/>
      <w:pPr>
        <w:ind w:left="5040" w:hanging="360"/>
      </w:pPr>
      <w:rPr>
        <w:rFonts w:ascii="Symbol" w:hAnsi="Symbol" w:hint="default"/>
      </w:rPr>
    </w:lvl>
    <w:lvl w:ilvl="7" w:tplc="6AB88DF4" w:tentative="1">
      <w:start w:val="1"/>
      <w:numFmt w:val="bullet"/>
      <w:lvlText w:val="o"/>
      <w:lvlJc w:val="left"/>
      <w:pPr>
        <w:ind w:left="5760" w:hanging="360"/>
      </w:pPr>
      <w:rPr>
        <w:rFonts w:ascii="Courier New" w:hAnsi="Courier New" w:cs="Courier New" w:hint="default"/>
      </w:rPr>
    </w:lvl>
    <w:lvl w:ilvl="8" w:tplc="62E45C66"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43DA7C30">
      <w:numFmt w:val="bullet"/>
      <w:lvlText w:val="•"/>
      <w:lvlJc w:val="left"/>
      <w:pPr>
        <w:ind w:left="1080" w:hanging="720"/>
      </w:pPr>
      <w:rPr>
        <w:rFonts w:ascii="Arial" w:eastAsiaTheme="minorEastAsia" w:hAnsi="Arial" w:cs="Arial" w:hint="default"/>
      </w:rPr>
    </w:lvl>
    <w:lvl w:ilvl="1" w:tplc="A498C9B4" w:tentative="1">
      <w:start w:val="1"/>
      <w:numFmt w:val="bullet"/>
      <w:lvlText w:val="o"/>
      <w:lvlJc w:val="left"/>
      <w:pPr>
        <w:ind w:left="1440" w:hanging="360"/>
      </w:pPr>
      <w:rPr>
        <w:rFonts w:ascii="Courier New" w:hAnsi="Courier New" w:cs="Courier New" w:hint="default"/>
      </w:rPr>
    </w:lvl>
    <w:lvl w:ilvl="2" w:tplc="8690CF5C" w:tentative="1">
      <w:start w:val="1"/>
      <w:numFmt w:val="bullet"/>
      <w:lvlText w:val=""/>
      <w:lvlJc w:val="left"/>
      <w:pPr>
        <w:ind w:left="2160" w:hanging="360"/>
      </w:pPr>
      <w:rPr>
        <w:rFonts w:ascii="Wingdings" w:hAnsi="Wingdings" w:hint="default"/>
      </w:rPr>
    </w:lvl>
    <w:lvl w:ilvl="3" w:tplc="8514C21C" w:tentative="1">
      <w:start w:val="1"/>
      <w:numFmt w:val="bullet"/>
      <w:lvlText w:val=""/>
      <w:lvlJc w:val="left"/>
      <w:pPr>
        <w:ind w:left="2880" w:hanging="360"/>
      </w:pPr>
      <w:rPr>
        <w:rFonts w:ascii="Symbol" w:hAnsi="Symbol" w:hint="default"/>
      </w:rPr>
    </w:lvl>
    <w:lvl w:ilvl="4" w:tplc="4FB2D636" w:tentative="1">
      <w:start w:val="1"/>
      <w:numFmt w:val="bullet"/>
      <w:lvlText w:val="o"/>
      <w:lvlJc w:val="left"/>
      <w:pPr>
        <w:ind w:left="3600" w:hanging="360"/>
      </w:pPr>
      <w:rPr>
        <w:rFonts w:ascii="Courier New" w:hAnsi="Courier New" w:cs="Courier New" w:hint="default"/>
      </w:rPr>
    </w:lvl>
    <w:lvl w:ilvl="5" w:tplc="7506CDE2" w:tentative="1">
      <w:start w:val="1"/>
      <w:numFmt w:val="bullet"/>
      <w:lvlText w:val=""/>
      <w:lvlJc w:val="left"/>
      <w:pPr>
        <w:ind w:left="4320" w:hanging="360"/>
      </w:pPr>
      <w:rPr>
        <w:rFonts w:ascii="Wingdings" w:hAnsi="Wingdings" w:hint="default"/>
      </w:rPr>
    </w:lvl>
    <w:lvl w:ilvl="6" w:tplc="DFF8B65C" w:tentative="1">
      <w:start w:val="1"/>
      <w:numFmt w:val="bullet"/>
      <w:lvlText w:val=""/>
      <w:lvlJc w:val="left"/>
      <w:pPr>
        <w:ind w:left="5040" w:hanging="360"/>
      </w:pPr>
      <w:rPr>
        <w:rFonts w:ascii="Symbol" w:hAnsi="Symbol" w:hint="default"/>
      </w:rPr>
    </w:lvl>
    <w:lvl w:ilvl="7" w:tplc="644C5182" w:tentative="1">
      <w:start w:val="1"/>
      <w:numFmt w:val="bullet"/>
      <w:lvlText w:val="o"/>
      <w:lvlJc w:val="left"/>
      <w:pPr>
        <w:ind w:left="5760" w:hanging="360"/>
      </w:pPr>
      <w:rPr>
        <w:rFonts w:ascii="Courier New" w:hAnsi="Courier New" w:cs="Courier New" w:hint="default"/>
      </w:rPr>
    </w:lvl>
    <w:lvl w:ilvl="8" w:tplc="4A8AE350"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39F4D03E">
      <w:start w:val="1"/>
      <w:numFmt w:val="bullet"/>
      <w:lvlText w:val=""/>
      <w:lvlJc w:val="left"/>
      <w:pPr>
        <w:ind w:left="720" w:hanging="360"/>
      </w:pPr>
      <w:rPr>
        <w:rFonts w:ascii="Symbol" w:hAnsi="Symbol" w:hint="default"/>
      </w:rPr>
    </w:lvl>
    <w:lvl w:ilvl="1" w:tplc="57D6278C" w:tentative="1">
      <w:start w:val="1"/>
      <w:numFmt w:val="bullet"/>
      <w:lvlText w:val="o"/>
      <w:lvlJc w:val="left"/>
      <w:pPr>
        <w:ind w:left="1440" w:hanging="360"/>
      </w:pPr>
      <w:rPr>
        <w:rFonts w:ascii="Courier New" w:hAnsi="Courier New" w:cs="Courier New" w:hint="default"/>
      </w:rPr>
    </w:lvl>
    <w:lvl w:ilvl="2" w:tplc="81EE2594" w:tentative="1">
      <w:start w:val="1"/>
      <w:numFmt w:val="bullet"/>
      <w:lvlText w:val=""/>
      <w:lvlJc w:val="left"/>
      <w:pPr>
        <w:ind w:left="2160" w:hanging="360"/>
      </w:pPr>
      <w:rPr>
        <w:rFonts w:ascii="Wingdings" w:hAnsi="Wingdings" w:hint="default"/>
      </w:rPr>
    </w:lvl>
    <w:lvl w:ilvl="3" w:tplc="FFE0DD0E" w:tentative="1">
      <w:start w:val="1"/>
      <w:numFmt w:val="bullet"/>
      <w:lvlText w:val=""/>
      <w:lvlJc w:val="left"/>
      <w:pPr>
        <w:ind w:left="2880" w:hanging="360"/>
      </w:pPr>
      <w:rPr>
        <w:rFonts w:ascii="Symbol" w:hAnsi="Symbol" w:hint="default"/>
      </w:rPr>
    </w:lvl>
    <w:lvl w:ilvl="4" w:tplc="22BE333C" w:tentative="1">
      <w:start w:val="1"/>
      <w:numFmt w:val="bullet"/>
      <w:lvlText w:val="o"/>
      <w:lvlJc w:val="left"/>
      <w:pPr>
        <w:ind w:left="3600" w:hanging="360"/>
      </w:pPr>
      <w:rPr>
        <w:rFonts w:ascii="Courier New" w:hAnsi="Courier New" w:cs="Courier New" w:hint="default"/>
      </w:rPr>
    </w:lvl>
    <w:lvl w:ilvl="5" w:tplc="12444006" w:tentative="1">
      <w:start w:val="1"/>
      <w:numFmt w:val="bullet"/>
      <w:lvlText w:val=""/>
      <w:lvlJc w:val="left"/>
      <w:pPr>
        <w:ind w:left="4320" w:hanging="360"/>
      </w:pPr>
      <w:rPr>
        <w:rFonts w:ascii="Wingdings" w:hAnsi="Wingdings" w:hint="default"/>
      </w:rPr>
    </w:lvl>
    <w:lvl w:ilvl="6" w:tplc="B48277F4" w:tentative="1">
      <w:start w:val="1"/>
      <w:numFmt w:val="bullet"/>
      <w:lvlText w:val=""/>
      <w:lvlJc w:val="left"/>
      <w:pPr>
        <w:ind w:left="5040" w:hanging="360"/>
      </w:pPr>
      <w:rPr>
        <w:rFonts w:ascii="Symbol" w:hAnsi="Symbol" w:hint="default"/>
      </w:rPr>
    </w:lvl>
    <w:lvl w:ilvl="7" w:tplc="3016208A" w:tentative="1">
      <w:start w:val="1"/>
      <w:numFmt w:val="bullet"/>
      <w:lvlText w:val="o"/>
      <w:lvlJc w:val="left"/>
      <w:pPr>
        <w:ind w:left="5760" w:hanging="360"/>
      </w:pPr>
      <w:rPr>
        <w:rFonts w:ascii="Courier New" w:hAnsi="Courier New" w:cs="Courier New" w:hint="default"/>
      </w:rPr>
    </w:lvl>
    <w:lvl w:ilvl="8" w:tplc="B166303E"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DEC60980">
      <w:start w:val="1"/>
      <w:numFmt w:val="decimal"/>
      <w:pStyle w:val="Numberlist"/>
      <w:lvlText w:val="%1."/>
      <w:lvlJc w:val="left"/>
      <w:pPr>
        <w:ind w:left="720" w:hanging="360"/>
      </w:pPr>
    </w:lvl>
    <w:lvl w:ilvl="1" w:tplc="CBB8F370" w:tentative="1">
      <w:start w:val="1"/>
      <w:numFmt w:val="lowerLetter"/>
      <w:lvlText w:val="%2."/>
      <w:lvlJc w:val="left"/>
      <w:pPr>
        <w:ind w:left="1440" w:hanging="360"/>
      </w:pPr>
    </w:lvl>
    <w:lvl w:ilvl="2" w:tplc="9448FDFC" w:tentative="1">
      <w:start w:val="1"/>
      <w:numFmt w:val="lowerRoman"/>
      <w:lvlText w:val="%3."/>
      <w:lvlJc w:val="right"/>
      <w:pPr>
        <w:ind w:left="2160" w:hanging="180"/>
      </w:pPr>
    </w:lvl>
    <w:lvl w:ilvl="3" w:tplc="41BE79B6" w:tentative="1">
      <w:start w:val="1"/>
      <w:numFmt w:val="decimal"/>
      <w:lvlText w:val="%4."/>
      <w:lvlJc w:val="left"/>
      <w:pPr>
        <w:ind w:left="2880" w:hanging="360"/>
      </w:pPr>
    </w:lvl>
    <w:lvl w:ilvl="4" w:tplc="B61A7D1A" w:tentative="1">
      <w:start w:val="1"/>
      <w:numFmt w:val="lowerLetter"/>
      <w:lvlText w:val="%5."/>
      <w:lvlJc w:val="left"/>
      <w:pPr>
        <w:ind w:left="3600" w:hanging="360"/>
      </w:pPr>
    </w:lvl>
    <w:lvl w:ilvl="5" w:tplc="B3E87D58" w:tentative="1">
      <w:start w:val="1"/>
      <w:numFmt w:val="lowerRoman"/>
      <w:lvlText w:val="%6."/>
      <w:lvlJc w:val="right"/>
      <w:pPr>
        <w:ind w:left="4320" w:hanging="180"/>
      </w:pPr>
    </w:lvl>
    <w:lvl w:ilvl="6" w:tplc="2C54FA44" w:tentative="1">
      <w:start w:val="1"/>
      <w:numFmt w:val="decimal"/>
      <w:lvlText w:val="%7."/>
      <w:lvlJc w:val="left"/>
      <w:pPr>
        <w:ind w:left="5040" w:hanging="360"/>
      </w:pPr>
    </w:lvl>
    <w:lvl w:ilvl="7" w:tplc="A5588E60" w:tentative="1">
      <w:start w:val="1"/>
      <w:numFmt w:val="lowerLetter"/>
      <w:lvlText w:val="%8."/>
      <w:lvlJc w:val="left"/>
      <w:pPr>
        <w:ind w:left="5760" w:hanging="360"/>
      </w:pPr>
    </w:lvl>
    <w:lvl w:ilvl="8" w:tplc="7AFC784E"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C9B48FE8">
      <w:start w:val="1"/>
      <w:numFmt w:val="bullet"/>
      <w:lvlText w:val="o"/>
      <w:lvlJc w:val="left"/>
      <w:pPr>
        <w:ind w:left="644" w:hanging="360"/>
      </w:pPr>
      <w:rPr>
        <w:rFonts w:ascii="Courier New" w:hAnsi="Courier New" w:cs="Courier New" w:hint="default"/>
      </w:rPr>
    </w:lvl>
    <w:lvl w:ilvl="1" w:tplc="542A2FE6" w:tentative="1">
      <w:start w:val="1"/>
      <w:numFmt w:val="bullet"/>
      <w:lvlText w:val="o"/>
      <w:lvlJc w:val="left"/>
      <w:pPr>
        <w:ind w:left="1440" w:hanging="360"/>
      </w:pPr>
      <w:rPr>
        <w:rFonts w:ascii="Courier New" w:hAnsi="Courier New" w:cs="Courier New" w:hint="default"/>
      </w:rPr>
    </w:lvl>
    <w:lvl w:ilvl="2" w:tplc="F73C4C26" w:tentative="1">
      <w:start w:val="1"/>
      <w:numFmt w:val="bullet"/>
      <w:lvlText w:val=""/>
      <w:lvlJc w:val="left"/>
      <w:pPr>
        <w:ind w:left="2160" w:hanging="360"/>
      </w:pPr>
      <w:rPr>
        <w:rFonts w:ascii="Wingdings" w:hAnsi="Wingdings" w:hint="default"/>
      </w:rPr>
    </w:lvl>
    <w:lvl w:ilvl="3" w:tplc="BA82B8B2" w:tentative="1">
      <w:start w:val="1"/>
      <w:numFmt w:val="bullet"/>
      <w:lvlText w:val=""/>
      <w:lvlJc w:val="left"/>
      <w:pPr>
        <w:ind w:left="2880" w:hanging="360"/>
      </w:pPr>
      <w:rPr>
        <w:rFonts w:ascii="Symbol" w:hAnsi="Symbol" w:hint="default"/>
      </w:rPr>
    </w:lvl>
    <w:lvl w:ilvl="4" w:tplc="2D2C5040" w:tentative="1">
      <w:start w:val="1"/>
      <w:numFmt w:val="bullet"/>
      <w:lvlText w:val="o"/>
      <w:lvlJc w:val="left"/>
      <w:pPr>
        <w:ind w:left="3600" w:hanging="360"/>
      </w:pPr>
      <w:rPr>
        <w:rFonts w:ascii="Courier New" w:hAnsi="Courier New" w:cs="Courier New" w:hint="default"/>
      </w:rPr>
    </w:lvl>
    <w:lvl w:ilvl="5" w:tplc="00C01C3E" w:tentative="1">
      <w:start w:val="1"/>
      <w:numFmt w:val="bullet"/>
      <w:lvlText w:val=""/>
      <w:lvlJc w:val="left"/>
      <w:pPr>
        <w:ind w:left="4320" w:hanging="360"/>
      </w:pPr>
      <w:rPr>
        <w:rFonts w:ascii="Wingdings" w:hAnsi="Wingdings" w:hint="default"/>
      </w:rPr>
    </w:lvl>
    <w:lvl w:ilvl="6" w:tplc="CB4251AE" w:tentative="1">
      <w:start w:val="1"/>
      <w:numFmt w:val="bullet"/>
      <w:lvlText w:val=""/>
      <w:lvlJc w:val="left"/>
      <w:pPr>
        <w:ind w:left="5040" w:hanging="360"/>
      </w:pPr>
      <w:rPr>
        <w:rFonts w:ascii="Symbol" w:hAnsi="Symbol" w:hint="default"/>
      </w:rPr>
    </w:lvl>
    <w:lvl w:ilvl="7" w:tplc="090A0B80" w:tentative="1">
      <w:start w:val="1"/>
      <w:numFmt w:val="bullet"/>
      <w:lvlText w:val="o"/>
      <w:lvlJc w:val="left"/>
      <w:pPr>
        <w:ind w:left="5760" w:hanging="360"/>
      </w:pPr>
      <w:rPr>
        <w:rFonts w:ascii="Courier New" w:hAnsi="Courier New" w:cs="Courier New" w:hint="default"/>
      </w:rPr>
    </w:lvl>
    <w:lvl w:ilvl="8" w:tplc="6726A33A"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EA9878DC">
      <w:start w:val="1"/>
      <w:numFmt w:val="bullet"/>
      <w:lvlText w:val=""/>
      <w:lvlJc w:val="left"/>
      <w:pPr>
        <w:ind w:left="720" w:hanging="360"/>
      </w:pPr>
      <w:rPr>
        <w:rFonts w:ascii="Symbol" w:hAnsi="Symbol" w:hint="default"/>
      </w:rPr>
    </w:lvl>
    <w:lvl w:ilvl="1" w:tplc="F880CCA0" w:tentative="1">
      <w:start w:val="1"/>
      <w:numFmt w:val="bullet"/>
      <w:lvlText w:val="o"/>
      <w:lvlJc w:val="left"/>
      <w:pPr>
        <w:ind w:left="1440" w:hanging="360"/>
      </w:pPr>
      <w:rPr>
        <w:rFonts w:ascii="Courier New" w:hAnsi="Courier New" w:cs="Courier New" w:hint="default"/>
      </w:rPr>
    </w:lvl>
    <w:lvl w:ilvl="2" w:tplc="A4FA83CE" w:tentative="1">
      <w:start w:val="1"/>
      <w:numFmt w:val="bullet"/>
      <w:lvlText w:val=""/>
      <w:lvlJc w:val="left"/>
      <w:pPr>
        <w:ind w:left="2160" w:hanging="360"/>
      </w:pPr>
      <w:rPr>
        <w:rFonts w:ascii="Wingdings" w:hAnsi="Wingdings" w:hint="default"/>
      </w:rPr>
    </w:lvl>
    <w:lvl w:ilvl="3" w:tplc="0FC8B49E" w:tentative="1">
      <w:start w:val="1"/>
      <w:numFmt w:val="bullet"/>
      <w:lvlText w:val=""/>
      <w:lvlJc w:val="left"/>
      <w:pPr>
        <w:ind w:left="2880" w:hanging="360"/>
      </w:pPr>
      <w:rPr>
        <w:rFonts w:ascii="Symbol" w:hAnsi="Symbol" w:hint="default"/>
      </w:rPr>
    </w:lvl>
    <w:lvl w:ilvl="4" w:tplc="A4F83410" w:tentative="1">
      <w:start w:val="1"/>
      <w:numFmt w:val="bullet"/>
      <w:lvlText w:val="o"/>
      <w:lvlJc w:val="left"/>
      <w:pPr>
        <w:ind w:left="3600" w:hanging="360"/>
      </w:pPr>
      <w:rPr>
        <w:rFonts w:ascii="Courier New" w:hAnsi="Courier New" w:cs="Courier New" w:hint="default"/>
      </w:rPr>
    </w:lvl>
    <w:lvl w:ilvl="5" w:tplc="9C260DF4" w:tentative="1">
      <w:start w:val="1"/>
      <w:numFmt w:val="bullet"/>
      <w:lvlText w:val=""/>
      <w:lvlJc w:val="left"/>
      <w:pPr>
        <w:ind w:left="4320" w:hanging="360"/>
      </w:pPr>
      <w:rPr>
        <w:rFonts w:ascii="Wingdings" w:hAnsi="Wingdings" w:hint="default"/>
      </w:rPr>
    </w:lvl>
    <w:lvl w:ilvl="6" w:tplc="C2802A56" w:tentative="1">
      <w:start w:val="1"/>
      <w:numFmt w:val="bullet"/>
      <w:lvlText w:val=""/>
      <w:lvlJc w:val="left"/>
      <w:pPr>
        <w:ind w:left="5040" w:hanging="360"/>
      </w:pPr>
      <w:rPr>
        <w:rFonts w:ascii="Symbol" w:hAnsi="Symbol" w:hint="default"/>
      </w:rPr>
    </w:lvl>
    <w:lvl w:ilvl="7" w:tplc="971EBD9C" w:tentative="1">
      <w:start w:val="1"/>
      <w:numFmt w:val="bullet"/>
      <w:lvlText w:val="o"/>
      <w:lvlJc w:val="left"/>
      <w:pPr>
        <w:ind w:left="5760" w:hanging="360"/>
      </w:pPr>
      <w:rPr>
        <w:rFonts w:ascii="Courier New" w:hAnsi="Courier New" w:cs="Courier New" w:hint="default"/>
      </w:rPr>
    </w:lvl>
    <w:lvl w:ilvl="8" w:tplc="9F68D9BE"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8C6EEAF4">
      <w:start w:val="1"/>
      <w:numFmt w:val="bullet"/>
      <w:lvlText w:val=""/>
      <w:lvlJc w:val="left"/>
      <w:pPr>
        <w:ind w:left="720" w:hanging="360"/>
      </w:pPr>
      <w:rPr>
        <w:rFonts w:ascii="Symbol" w:hAnsi="Symbol" w:hint="default"/>
      </w:rPr>
    </w:lvl>
    <w:lvl w:ilvl="1" w:tplc="5462C0F0" w:tentative="1">
      <w:start w:val="1"/>
      <w:numFmt w:val="bullet"/>
      <w:lvlText w:val="o"/>
      <w:lvlJc w:val="left"/>
      <w:pPr>
        <w:ind w:left="1440" w:hanging="360"/>
      </w:pPr>
      <w:rPr>
        <w:rFonts w:ascii="Courier New" w:hAnsi="Courier New" w:cs="Courier New" w:hint="default"/>
      </w:rPr>
    </w:lvl>
    <w:lvl w:ilvl="2" w:tplc="66E4B504" w:tentative="1">
      <w:start w:val="1"/>
      <w:numFmt w:val="bullet"/>
      <w:lvlText w:val=""/>
      <w:lvlJc w:val="left"/>
      <w:pPr>
        <w:ind w:left="2160" w:hanging="360"/>
      </w:pPr>
      <w:rPr>
        <w:rFonts w:ascii="Wingdings" w:hAnsi="Wingdings" w:hint="default"/>
      </w:rPr>
    </w:lvl>
    <w:lvl w:ilvl="3" w:tplc="E0A6CF2A" w:tentative="1">
      <w:start w:val="1"/>
      <w:numFmt w:val="bullet"/>
      <w:lvlText w:val=""/>
      <w:lvlJc w:val="left"/>
      <w:pPr>
        <w:ind w:left="2880" w:hanging="360"/>
      </w:pPr>
      <w:rPr>
        <w:rFonts w:ascii="Symbol" w:hAnsi="Symbol" w:hint="default"/>
      </w:rPr>
    </w:lvl>
    <w:lvl w:ilvl="4" w:tplc="2E1EAB8A" w:tentative="1">
      <w:start w:val="1"/>
      <w:numFmt w:val="bullet"/>
      <w:lvlText w:val="o"/>
      <w:lvlJc w:val="left"/>
      <w:pPr>
        <w:ind w:left="3600" w:hanging="360"/>
      </w:pPr>
      <w:rPr>
        <w:rFonts w:ascii="Courier New" w:hAnsi="Courier New" w:cs="Courier New" w:hint="default"/>
      </w:rPr>
    </w:lvl>
    <w:lvl w:ilvl="5" w:tplc="51CA10A4" w:tentative="1">
      <w:start w:val="1"/>
      <w:numFmt w:val="bullet"/>
      <w:lvlText w:val=""/>
      <w:lvlJc w:val="left"/>
      <w:pPr>
        <w:ind w:left="4320" w:hanging="360"/>
      </w:pPr>
      <w:rPr>
        <w:rFonts w:ascii="Wingdings" w:hAnsi="Wingdings" w:hint="default"/>
      </w:rPr>
    </w:lvl>
    <w:lvl w:ilvl="6" w:tplc="9F8E796E" w:tentative="1">
      <w:start w:val="1"/>
      <w:numFmt w:val="bullet"/>
      <w:lvlText w:val=""/>
      <w:lvlJc w:val="left"/>
      <w:pPr>
        <w:ind w:left="5040" w:hanging="360"/>
      </w:pPr>
      <w:rPr>
        <w:rFonts w:ascii="Symbol" w:hAnsi="Symbol" w:hint="default"/>
      </w:rPr>
    </w:lvl>
    <w:lvl w:ilvl="7" w:tplc="11880C86" w:tentative="1">
      <w:start w:val="1"/>
      <w:numFmt w:val="bullet"/>
      <w:lvlText w:val="o"/>
      <w:lvlJc w:val="left"/>
      <w:pPr>
        <w:ind w:left="5760" w:hanging="360"/>
      </w:pPr>
      <w:rPr>
        <w:rFonts w:ascii="Courier New" w:hAnsi="Courier New" w:cs="Courier New" w:hint="default"/>
      </w:rPr>
    </w:lvl>
    <w:lvl w:ilvl="8" w:tplc="EA2E7C76"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66BCC61C">
      <w:start w:val="1"/>
      <w:numFmt w:val="lowerLetter"/>
      <w:pStyle w:val="Alphabetlist"/>
      <w:lvlText w:val="%1."/>
      <w:lvlJc w:val="left"/>
      <w:pPr>
        <w:ind w:left="1004" w:hanging="360"/>
      </w:pPr>
    </w:lvl>
    <w:lvl w:ilvl="1" w:tplc="DA184DC0" w:tentative="1">
      <w:start w:val="1"/>
      <w:numFmt w:val="lowerLetter"/>
      <w:lvlText w:val="%2."/>
      <w:lvlJc w:val="left"/>
      <w:pPr>
        <w:ind w:left="1724" w:hanging="360"/>
      </w:pPr>
    </w:lvl>
    <w:lvl w:ilvl="2" w:tplc="44806122" w:tentative="1">
      <w:start w:val="1"/>
      <w:numFmt w:val="lowerRoman"/>
      <w:lvlText w:val="%3."/>
      <w:lvlJc w:val="right"/>
      <w:pPr>
        <w:ind w:left="2444" w:hanging="180"/>
      </w:pPr>
    </w:lvl>
    <w:lvl w:ilvl="3" w:tplc="D50478DA" w:tentative="1">
      <w:start w:val="1"/>
      <w:numFmt w:val="decimal"/>
      <w:lvlText w:val="%4."/>
      <w:lvlJc w:val="left"/>
      <w:pPr>
        <w:ind w:left="3164" w:hanging="360"/>
      </w:pPr>
    </w:lvl>
    <w:lvl w:ilvl="4" w:tplc="DA4E60EC" w:tentative="1">
      <w:start w:val="1"/>
      <w:numFmt w:val="lowerLetter"/>
      <w:lvlText w:val="%5."/>
      <w:lvlJc w:val="left"/>
      <w:pPr>
        <w:ind w:left="3884" w:hanging="360"/>
      </w:pPr>
    </w:lvl>
    <w:lvl w:ilvl="5" w:tplc="D77076DC" w:tentative="1">
      <w:start w:val="1"/>
      <w:numFmt w:val="lowerRoman"/>
      <w:lvlText w:val="%6."/>
      <w:lvlJc w:val="right"/>
      <w:pPr>
        <w:ind w:left="4604" w:hanging="180"/>
      </w:pPr>
    </w:lvl>
    <w:lvl w:ilvl="6" w:tplc="7020E7C2" w:tentative="1">
      <w:start w:val="1"/>
      <w:numFmt w:val="decimal"/>
      <w:lvlText w:val="%7."/>
      <w:lvlJc w:val="left"/>
      <w:pPr>
        <w:ind w:left="5324" w:hanging="360"/>
      </w:pPr>
    </w:lvl>
    <w:lvl w:ilvl="7" w:tplc="911EBA38" w:tentative="1">
      <w:start w:val="1"/>
      <w:numFmt w:val="lowerLetter"/>
      <w:lvlText w:val="%8."/>
      <w:lvlJc w:val="left"/>
      <w:pPr>
        <w:ind w:left="6044" w:hanging="360"/>
      </w:pPr>
    </w:lvl>
    <w:lvl w:ilvl="8" w:tplc="7BF86640"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42EEF1A8">
      <w:start w:val="1"/>
      <w:numFmt w:val="bullet"/>
      <w:pStyle w:val="Bullet1"/>
      <w:lvlText w:val=""/>
      <w:lvlJc w:val="left"/>
      <w:pPr>
        <w:ind w:left="720" w:hanging="360"/>
      </w:pPr>
      <w:rPr>
        <w:rFonts w:ascii="Symbol" w:hAnsi="Symbol" w:hint="default"/>
      </w:rPr>
    </w:lvl>
    <w:lvl w:ilvl="1" w:tplc="4F4CA738" w:tentative="1">
      <w:start w:val="1"/>
      <w:numFmt w:val="bullet"/>
      <w:lvlText w:val="o"/>
      <w:lvlJc w:val="left"/>
      <w:pPr>
        <w:ind w:left="1440" w:hanging="360"/>
      </w:pPr>
      <w:rPr>
        <w:rFonts w:ascii="Courier New" w:hAnsi="Courier New" w:cs="Courier New" w:hint="default"/>
      </w:rPr>
    </w:lvl>
    <w:lvl w:ilvl="2" w:tplc="C066C0E4" w:tentative="1">
      <w:start w:val="1"/>
      <w:numFmt w:val="bullet"/>
      <w:lvlText w:val=""/>
      <w:lvlJc w:val="left"/>
      <w:pPr>
        <w:ind w:left="2160" w:hanging="360"/>
      </w:pPr>
      <w:rPr>
        <w:rFonts w:ascii="Wingdings" w:hAnsi="Wingdings" w:hint="default"/>
      </w:rPr>
    </w:lvl>
    <w:lvl w:ilvl="3" w:tplc="75B40328" w:tentative="1">
      <w:start w:val="1"/>
      <w:numFmt w:val="bullet"/>
      <w:lvlText w:val=""/>
      <w:lvlJc w:val="left"/>
      <w:pPr>
        <w:ind w:left="2880" w:hanging="360"/>
      </w:pPr>
      <w:rPr>
        <w:rFonts w:ascii="Symbol" w:hAnsi="Symbol" w:hint="default"/>
      </w:rPr>
    </w:lvl>
    <w:lvl w:ilvl="4" w:tplc="8D128BD6" w:tentative="1">
      <w:start w:val="1"/>
      <w:numFmt w:val="bullet"/>
      <w:lvlText w:val="o"/>
      <w:lvlJc w:val="left"/>
      <w:pPr>
        <w:ind w:left="3600" w:hanging="360"/>
      </w:pPr>
      <w:rPr>
        <w:rFonts w:ascii="Courier New" w:hAnsi="Courier New" w:cs="Courier New" w:hint="default"/>
      </w:rPr>
    </w:lvl>
    <w:lvl w:ilvl="5" w:tplc="0CD2277A" w:tentative="1">
      <w:start w:val="1"/>
      <w:numFmt w:val="bullet"/>
      <w:lvlText w:val=""/>
      <w:lvlJc w:val="left"/>
      <w:pPr>
        <w:ind w:left="4320" w:hanging="360"/>
      </w:pPr>
      <w:rPr>
        <w:rFonts w:ascii="Wingdings" w:hAnsi="Wingdings" w:hint="default"/>
      </w:rPr>
    </w:lvl>
    <w:lvl w:ilvl="6" w:tplc="CD5AB5CC" w:tentative="1">
      <w:start w:val="1"/>
      <w:numFmt w:val="bullet"/>
      <w:lvlText w:val=""/>
      <w:lvlJc w:val="left"/>
      <w:pPr>
        <w:ind w:left="5040" w:hanging="360"/>
      </w:pPr>
      <w:rPr>
        <w:rFonts w:ascii="Symbol" w:hAnsi="Symbol" w:hint="default"/>
      </w:rPr>
    </w:lvl>
    <w:lvl w:ilvl="7" w:tplc="0840D3F0" w:tentative="1">
      <w:start w:val="1"/>
      <w:numFmt w:val="bullet"/>
      <w:lvlText w:val="o"/>
      <w:lvlJc w:val="left"/>
      <w:pPr>
        <w:ind w:left="5760" w:hanging="360"/>
      </w:pPr>
      <w:rPr>
        <w:rFonts w:ascii="Courier New" w:hAnsi="Courier New" w:cs="Courier New" w:hint="default"/>
      </w:rPr>
    </w:lvl>
    <w:lvl w:ilvl="8" w:tplc="35543686"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DBD4D9AE">
      <w:start w:val="1"/>
      <w:numFmt w:val="bullet"/>
      <w:lvlText w:val=""/>
      <w:lvlJc w:val="left"/>
      <w:pPr>
        <w:ind w:left="720" w:hanging="360"/>
      </w:pPr>
      <w:rPr>
        <w:rFonts w:ascii="Symbol" w:hAnsi="Symbol"/>
      </w:rPr>
    </w:lvl>
    <w:lvl w:ilvl="1" w:tplc="80B40E7A">
      <w:start w:val="1"/>
      <w:numFmt w:val="bullet"/>
      <w:lvlText w:val="o"/>
      <w:lvlJc w:val="left"/>
      <w:pPr>
        <w:tabs>
          <w:tab w:val="num" w:pos="1440"/>
        </w:tabs>
        <w:ind w:left="1440" w:hanging="360"/>
      </w:pPr>
      <w:rPr>
        <w:rFonts w:ascii="Courier New" w:hAnsi="Courier New"/>
      </w:rPr>
    </w:lvl>
    <w:lvl w:ilvl="2" w:tplc="D120692E">
      <w:start w:val="1"/>
      <w:numFmt w:val="bullet"/>
      <w:lvlText w:val=""/>
      <w:lvlJc w:val="left"/>
      <w:pPr>
        <w:tabs>
          <w:tab w:val="num" w:pos="2160"/>
        </w:tabs>
        <w:ind w:left="2160" w:hanging="360"/>
      </w:pPr>
      <w:rPr>
        <w:rFonts w:ascii="Wingdings" w:hAnsi="Wingdings"/>
      </w:rPr>
    </w:lvl>
    <w:lvl w:ilvl="3" w:tplc="6622BC5C">
      <w:start w:val="1"/>
      <w:numFmt w:val="bullet"/>
      <w:lvlText w:val=""/>
      <w:lvlJc w:val="left"/>
      <w:pPr>
        <w:tabs>
          <w:tab w:val="num" w:pos="2880"/>
        </w:tabs>
        <w:ind w:left="2880" w:hanging="360"/>
      </w:pPr>
      <w:rPr>
        <w:rFonts w:ascii="Symbol" w:hAnsi="Symbol"/>
      </w:rPr>
    </w:lvl>
    <w:lvl w:ilvl="4" w:tplc="8AAED4AE">
      <w:start w:val="1"/>
      <w:numFmt w:val="bullet"/>
      <w:lvlText w:val="o"/>
      <w:lvlJc w:val="left"/>
      <w:pPr>
        <w:tabs>
          <w:tab w:val="num" w:pos="3600"/>
        </w:tabs>
        <w:ind w:left="3600" w:hanging="360"/>
      </w:pPr>
      <w:rPr>
        <w:rFonts w:ascii="Courier New" w:hAnsi="Courier New"/>
      </w:rPr>
    </w:lvl>
    <w:lvl w:ilvl="5" w:tplc="BA5A8AB0">
      <w:start w:val="1"/>
      <w:numFmt w:val="bullet"/>
      <w:lvlText w:val=""/>
      <w:lvlJc w:val="left"/>
      <w:pPr>
        <w:tabs>
          <w:tab w:val="num" w:pos="4320"/>
        </w:tabs>
        <w:ind w:left="4320" w:hanging="360"/>
      </w:pPr>
      <w:rPr>
        <w:rFonts w:ascii="Wingdings" w:hAnsi="Wingdings"/>
      </w:rPr>
    </w:lvl>
    <w:lvl w:ilvl="6" w:tplc="14045022">
      <w:start w:val="1"/>
      <w:numFmt w:val="bullet"/>
      <w:lvlText w:val=""/>
      <w:lvlJc w:val="left"/>
      <w:pPr>
        <w:tabs>
          <w:tab w:val="num" w:pos="5040"/>
        </w:tabs>
        <w:ind w:left="5040" w:hanging="360"/>
      </w:pPr>
      <w:rPr>
        <w:rFonts w:ascii="Symbol" w:hAnsi="Symbol"/>
      </w:rPr>
    </w:lvl>
    <w:lvl w:ilvl="7" w:tplc="96A0E656">
      <w:start w:val="1"/>
      <w:numFmt w:val="bullet"/>
      <w:lvlText w:val="o"/>
      <w:lvlJc w:val="left"/>
      <w:pPr>
        <w:tabs>
          <w:tab w:val="num" w:pos="5760"/>
        </w:tabs>
        <w:ind w:left="5760" w:hanging="360"/>
      </w:pPr>
      <w:rPr>
        <w:rFonts w:ascii="Courier New" w:hAnsi="Courier New"/>
      </w:rPr>
    </w:lvl>
    <w:lvl w:ilvl="8" w:tplc="32E86780">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930891213">
    <w:abstractNumId w:val="0"/>
  </w:num>
  <w:num w:numId="2" w16cid:durableId="1661498596">
    <w:abstractNumId w:val="1"/>
  </w:num>
  <w:num w:numId="3" w16cid:durableId="1138958729">
    <w:abstractNumId w:val="2"/>
  </w:num>
  <w:num w:numId="4" w16cid:durableId="1585991194">
    <w:abstractNumId w:val="3"/>
  </w:num>
  <w:num w:numId="5" w16cid:durableId="82384155">
    <w:abstractNumId w:val="4"/>
  </w:num>
  <w:num w:numId="6" w16cid:durableId="530804456">
    <w:abstractNumId w:val="9"/>
  </w:num>
  <w:num w:numId="7" w16cid:durableId="731389071">
    <w:abstractNumId w:val="5"/>
  </w:num>
  <w:num w:numId="8" w16cid:durableId="1505629949">
    <w:abstractNumId w:val="6"/>
  </w:num>
  <w:num w:numId="9" w16cid:durableId="782070451">
    <w:abstractNumId w:val="7"/>
  </w:num>
  <w:num w:numId="10" w16cid:durableId="95296505">
    <w:abstractNumId w:val="8"/>
  </w:num>
  <w:num w:numId="11" w16cid:durableId="1398942346">
    <w:abstractNumId w:val="10"/>
  </w:num>
  <w:num w:numId="12" w16cid:durableId="1577284974">
    <w:abstractNumId w:val="15"/>
  </w:num>
  <w:num w:numId="13" w16cid:durableId="147327076">
    <w:abstractNumId w:val="19"/>
  </w:num>
  <w:num w:numId="14" w16cid:durableId="775291920">
    <w:abstractNumId w:val="20"/>
  </w:num>
  <w:num w:numId="15" w16cid:durableId="1054818996">
    <w:abstractNumId w:val="14"/>
  </w:num>
  <w:num w:numId="16" w16cid:durableId="788857335">
    <w:abstractNumId w:val="14"/>
    <w:lvlOverride w:ilvl="0">
      <w:startOverride w:val="1"/>
    </w:lvlOverride>
  </w:num>
  <w:num w:numId="17" w16cid:durableId="1093671346">
    <w:abstractNumId w:val="18"/>
  </w:num>
  <w:num w:numId="18" w16cid:durableId="1893955759">
    <w:abstractNumId w:val="13"/>
  </w:num>
  <w:num w:numId="19" w16cid:durableId="1848859600">
    <w:abstractNumId w:val="12"/>
  </w:num>
  <w:num w:numId="20" w16cid:durableId="1512405186">
    <w:abstractNumId w:val="11"/>
  </w:num>
  <w:num w:numId="21" w16cid:durableId="1863518361">
    <w:abstractNumId w:val="16"/>
  </w:num>
  <w:num w:numId="22" w16cid:durableId="1666199420">
    <w:abstractNumId w:val="17"/>
  </w:num>
  <w:num w:numId="23" w16cid:durableId="600451366">
    <w:abstractNumId w:val="18"/>
  </w:num>
  <w:num w:numId="24" w16cid:durableId="1032851387">
    <w:abstractNumId w:val="21"/>
  </w:num>
  <w:num w:numId="25" w16cid:durableId="1093671569">
    <w:abstractNumId w:val="22"/>
  </w:num>
  <w:num w:numId="26" w16cid:durableId="1964262126">
    <w:abstractNumId w:val="22"/>
  </w:num>
  <w:num w:numId="27" w16cid:durableId="1021661474">
    <w:abstractNumId w:val="22"/>
  </w:num>
  <w:num w:numId="28" w16cid:durableId="1857961464">
    <w:abstractNumId w:val="22"/>
  </w:num>
  <w:num w:numId="29" w16cid:durableId="9133180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98"/>
    <w:rsid w:val="00223BBB"/>
    <w:rsid w:val="00375636"/>
    <w:rsid w:val="006F1898"/>
    <w:rsid w:val="007E13F4"/>
    <w:rsid w:val="00D53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79C9"/>
  <w15:docId w15:val="{F0E7A8B4-513F-43F1-A16C-782DF518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www.carnegie.ps.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1.xml"/><Relationship Id="rId41" Type="http://schemas.openxmlformats.org/officeDocument/2006/relationships/image" Target="media/image21.png"/><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Karen Roberts 2</cp:lastModifiedBy>
  <cp:revision>2</cp:revision>
  <dcterms:created xsi:type="dcterms:W3CDTF">2026-05-22T05:07:00Z</dcterms:created>
  <dcterms:modified xsi:type="dcterms:W3CDTF">2026-05-22T05:07:00Z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